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E5" w:rsidRPr="003B72A0" w:rsidRDefault="009976E5" w:rsidP="009976E5">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bookmarkStart w:id="0" w:name="_GoBack"/>
            <w:bookmarkEnd w:id="0"/>
            <w:r w:rsidRPr="003B72A0">
              <w:rPr>
                <w:rFonts w:cs="Calibri"/>
                <w:b/>
                <w:color w:val="007F9F"/>
                <w:sz w:val="72"/>
                <w:szCs w:val="72"/>
              </w:rPr>
              <w:t>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Default="009976E5" w:rsidP="009976E5">
      <w:pPr>
        <w:spacing w:after="0" w:line="240" w:lineRule="auto"/>
        <w:jc w:val="center"/>
        <w:rPr>
          <w:rFonts w:cs="Calibri"/>
          <w:b/>
          <w:color w:val="007F9F"/>
          <w:sz w:val="72"/>
          <w:szCs w:val="72"/>
        </w:rPr>
      </w:pPr>
    </w:p>
    <w:p w:rsidR="00D71A68" w:rsidRDefault="00D71A68" w:rsidP="009976E5">
      <w:pPr>
        <w:spacing w:after="0" w:line="240" w:lineRule="auto"/>
        <w:jc w:val="center"/>
        <w:rPr>
          <w:rFonts w:cs="Calibri"/>
          <w:b/>
          <w:color w:val="007F9F"/>
          <w:sz w:val="72"/>
          <w:szCs w:val="72"/>
        </w:rPr>
      </w:pPr>
    </w:p>
    <w:p w:rsidR="00D71A68" w:rsidRDefault="00D71A68" w:rsidP="009976E5">
      <w:pPr>
        <w:spacing w:after="0" w:line="240" w:lineRule="auto"/>
        <w:jc w:val="center"/>
        <w:rPr>
          <w:rFonts w:cs="Calibri"/>
          <w:b/>
          <w:color w:val="007F9F"/>
          <w:sz w:val="72"/>
          <w:szCs w:val="72"/>
        </w:rPr>
      </w:pPr>
    </w:p>
    <w:p w:rsidR="00D71A68" w:rsidRDefault="00D71A68" w:rsidP="009976E5">
      <w:pPr>
        <w:spacing w:after="0" w:line="240" w:lineRule="auto"/>
        <w:jc w:val="center"/>
        <w:rPr>
          <w:rFonts w:cs="Calibri"/>
          <w:b/>
          <w:color w:val="007F9F"/>
          <w:sz w:val="72"/>
          <w:szCs w:val="72"/>
        </w:rPr>
      </w:pPr>
    </w:p>
    <w:p w:rsidR="00D71A68" w:rsidRDefault="00D71A68" w:rsidP="009976E5">
      <w:pPr>
        <w:spacing w:after="0" w:line="240" w:lineRule="auto"/>
        <w:jc w:val="center"/>
        <w:rPr>
          <w:rFonts w:cs="Calibri"/>
          <w:b/>
          <w:color w:val="007F9F"/>
          <w:sz w:val="72"/>
          <w:szCs w:val="72"/>
        </w:rPr>
      </w:pPr>
    </w:p>
    <w:p w:rsidR="00D71A68" w:rsidRDefault="00D71A68" w:rsidP="009976E5">
      <w:pPr>
        <w:spacing w:after="0" w:line="240" w:lineRule="auto"/>
        <w:jc w:val="center"/>
        <w:rPr>
          <w:rFonts w:cs="Calibri"/>
          <w:b/>
          <w:color w:val="007F9F"/>
          <w:sz w:val="72"/>
          <w:szCs w:val="72"/>
        </w:rPr>
      </w:pPr>
    </w:p>
    <w:p w:rsidR="00D71A68" w:rsidRDefault="00D71A68" w:rsidP="009976E5">
      <w:pPr>
        <w:spacing w:after="0" w:line="240" w:lineRule="auto"/>
        <w:jc w:val="center"/>
        <w:rPr>
          <w:rFonts w:cs="Calibri"/>
          <w:b/>
          <w:color w:val="007F9F"/>
          <w:sz w:val="72"/>
          <w:szCs w:val="72"/>
        </w:rPr>
      </w:pPr>
    </w:p>
    <w:p w:rsidR="00D71A68" w:rsidRDefault="00D71A68" w:rsidP="009976E5">
      <w:pPr>
        <w:spacing w:after="0" w:line="240" w:lineRule="auto"/>
        <w:jc w:val="center"/>
        <w:rPr>
          <w:rFonts w:cs="Calibri"/>
          <w:b/>
          <w:color w:val="007F9F"/>
          <w:sz w:val="72"/>
          <w:szCs w:val="72"/>
        </w:rPr>
      </w:pPr>
    </w:p>
    <w:p w:rsidR="00D71A68" w:rsidRDefault="00D71A68" w:rsidP="009976E5">
      <w:pPr>
        <w:spacing w:after="0" w:line="240" w:lineRule="auto"/>
        <w:jc w:val="center"/>
        <w:rPr>
          <w:rFonts w:cs="Calibri"/>
          <w:b/>
          <w:color w:val="007F9F"/>
          <w:sz w:val="72"/>
          <w:szCs w:val="72"/>
        </w:rPr>
      </w:pPr>
    </w:p>
    <w:p w:rsidR="00D71A68" w:rsidRPr="003B72A0" w:rsidRDefault="00D71A68" w:rsidP="009976E5">
      <w:pPr>
        <w:spacing w:after="0" w:line="240" w:lineRule="auto"/>
        <w:jc w:val="center"/>
        <w:rPr>
          <w:rFonts w:cs="Calibri"/>
          <w:b/>
          <w:color w:val="007F9F"/>
          <w:sz w:val="72"/>
          <w:szCs w:val="72"/>
        </w:rPr>
      </w:pPr>
    </w:p>
    <w:p w:rsidR="009976E5" w:rsidRPr="008F7B6E" w:rsidRDefault="009976E5" w:rsidP="009976E5">
      <w:pPr>
        <w:pStyle w:val="Style3"/>
        <w:spacing w:before="0" w:after="0"/>
        <w:rPr>
          <w:sz w:val="32"/>
          <w:szCs w:val="32"/>
        </w:rPr>
      </w:pPr>
      <w:bookmarkStart w:id="1" w:name="_Toc415069127"/>
      <w:bookmarkStart w:id="2" w:name="_Toc416272070"/>
      <w:bookmarkStart w:id="3" w:name="_Toc283824217"/>
      <w:bookmarkStart w:id="4" w:name="_Toc430177046"/>
      <w:r w:rsidRPr="008F7B6E">
        <w:rPr>
          <w:sz w:val="32"/>
          <w:szCs w:val="32"/>
        </w:rPr>
        <w:lastRenderedPageBreak/>
        <w:t>Volet 3</w:t>
      </w:r>
      <w:bookmarkEnd w:id="4"/>
      <w:r>
        <w:rPr>
          <w:sz w:val="32"/>
          <w:szCs w:val="32"/>
        </w:rPr>
        <w:t> : les enseignements</w:t>
      </w:r>
    </w:p>
    <w:p w:rsidR="009976E5" w:rsidRPr="00223414" w:rsidRDefault="009976E5" w:rsidP="009976E5">
      <w:pPr>
        <w:spacing w:after="0" w:line="240" w:lineRule="auto"/>
        <w:rPr>
          <w:b/>
          <w:color w:val="31849B"/>
          <w:sz w:val="28"/>
          <w:szCs w:val="28"/>
        </w:rPr>
      </w:pPr>
      <w:bookmarkStart w:id="5" w:name="_Toc430177047"/>
      <w:r w:rsidRPr="00223414">
        <w:rPr>
          <w:b/>
          <w:color w:val="31849B"/>
          <w:sz w:val="28"/>
          <w:szCs w:val="28"/>
        </w:rPr>
        <w:t>F</w:t>
      </w:r>
      <w:bookmarkEnd w:id="1"/>
      <w:bookmarkEnd w:id="2"/>
      <w:bookmarkEnd w:id="5"/>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2117"/>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5918"/>
        <w:gridCol w:w="4541"/>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Enregistrement et écoute ou visionnement de sa 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lastRenderedPageBreak/>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403"/>
        <w:gridCol w:w="5056"/>
        <w:gridCol w:w="21"/>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w:t>
            </w:r>
            <w:r w:rsidRPr="003B72A0">
              <w:rPr>
                <w:rFonts w:cs="Calibri"/>
                <w:sz w:val="20"/>
                <w:szCs w:val="20"/>
              </w:rPr>
              <w:lastRenderedPageBreak/>
              <w:t>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w:t>
            </w:r>
            <w:r w:rsidRPr="003B72A0">
              <w:rPr>
                <w:rFonts w:cs="Calibri"/>
                <w:bCs/>
                <w:sz w:val="20"/>
                <w:szCs w:val="20"/>
              </w:rPr>
              <w:lastRenderedPageBreak/>
              <w:t>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403"/>
        <w:gridCol w:w="5056"/>
        <w:gridCol w:w="21"/>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règles de jeu, lettres, synthèses de leçons, </w:t>
            </w:r>
            <w:r w:rsidRPr="003B72A0">
              <w:rPr>
                <w:rFonts w:cs="Calibri"/>
                <w:sz w:val="20"/>
                <w:szCs w:val="20"/>
              </w:rPr>
              <w:lastRenderedPageBreak/>
              <w:t>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objectifs essentiels de l’étude de la langue durant le cycle 2 sont liés à la lecture et à l’écriture. Les connaissances acquises permettent de traiter des problèmes de compréhension et des problèmes orthographiques. Les textes à lire et les projets </w:t>
      </w:r>
      <w:r w:rsidRPr="003B72A0">
        <w:rPr>
          <w:rFonts w:cs="Calibri"/>
          <w:sz w:val="20"/>
          <w:szCs w:val="20"/>
        </w:rPr>
        <w:lastRenderedPageBreak/>
        <w:t xml:space="preserve">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403"/>
        <w:gridCol w:w="5056"/>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lastRenderedPageBreak/>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l’écriture </w:t>
            </w:r>
            <w:r w:rsidRPr="003B72A0">
              <w:rPr>
                <w:rFonts w:cs="Calibri"/>
                <w:i/>
                <w:sz w:val="20"/>
                <w:szCs w:val="20"/>
              </w:rPr>
              <w:t xml:space="preserve">(le travail de compréhension de la phrase effectué au CP conduit à identifier de qui ou de quoi l’on parle et ce </w:t>
            </w:r>
            <w:r w:rsidRPr="003B72A0">
              <w:rPr>
                <w:rFonts w:cs="Calibri"/>
                <w:i/>
                <w:sz w:val="20"/>
                <w:szCs w:val="20"/>
              </w:rPr>
              <w:lastRenderedPageBreak/>
              <w:t>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w:t>
            </w:r>
            <w:r w:rsidRPr="003B72A0">
              <w:rPr>
                <w:rFonts w:cs="Calibri"/>
                <w:bCs/>
                <w:sz w:val="20"/>
                <w:szCs w:val="20"/>
              </w:rPr>
              <w:lastRenderedPageBreak/>
              <w:t>repérage du sujet 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69791B" w:rsidRPr="003B72A0" w:rsidRDefault="009976E5" w:rsidP="00D71A68">
      <w:pPr>
        <w:pStyle w:val="Style3"/>
        <w:spacing w:before="0" w:after="0"/>
        <w:rPr>
          <w:sz w:val="56"/>
          <w:szCs w:val="56"/>
        </w:rPr>
      </w:pPr>
      <w:bookmarkStart w:id="6" w:name="_Toc430177048"/>
      <w:bookmarkEnd w:id="3"/>
      <w:r>
        <w:br w:type="page"/>
      </w:r>
      <w:bookmarkStart w:id="7" w:name="_Toc414540631"/>
      <w:bookmarkStart w:id="8" w:name="_Toc416423216"/>
      <w:bookmarkEnd w:id="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594A44" w:rsidRDefault="0069791B" w:rsidP="00D71A68">
      <w:pPr>
        <w:spacing w:after="0" w:line="240" w:lineRule="auto"/>
        <w:ind w:right="1134"/>
      </w:pPr>
      <w:r>
        <w:rPr>
          <w:rFonts w:cs="Calibri"/>
        </w:rPr>
        <w:br w:type="page"/>
      </w:r>
      <w:bookmarkStart w:id="9" w:name="_Toc415063676"/>
      <w:bookmarkStart w:id="10" w:name="_Toc416423218"/>
      <w:bookmarkStart w:id="11" w:name="_Toc429984993"/>
      <w:bookmarkEnd w:id="7"/>
      <w:bookmarkEnd w:id="8"/>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9"/>
      <w:bookmarkEnd w:id="10"/>
      <w:r w:rsidRPr="00750652">
        <w:rPr>
          <w:b/>
          <w:color w:val="31849B"/>
          <w:sz w:val="28"/>
          <w:szCs w:val="28"/>
        </w:rPr>
        <w:t>rançais</w:t>
      </w:r>
      <w:bookmarkEnd w:id="11"/>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gridCol w:w="2327"/>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5612"/>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Identification et mémorisation des informations 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lastRenderedPageBreak/>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lastRenderedPageBreak/>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lastRenderedPageBreak/>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4812"/>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Activités permettant de partager ses impressions de lecture, de faire des hypothèses d’interprétation et d’en 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lastRenderedPageBreak/>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xml:space="preserve">, une </w:t>
            </w:r>
            <w:r w:rsidRPr="004E509D">
              <w:rPr>
                <w:rFonts w:cs="Calibri"/>
                <w:sz w:val="20"/>
                <w:szCs w:val="20"/>
              </w:rPr>
              <w:lastRenderedPageBreak/>
              <w:t>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xml:space="preserve">Dans les classes à double niveau, les mêmes textes et œuvres peuvent être donnés à lire aux élèves de CM1 et de CM2. On veillera à ce que les élèves de CM1 puissent faire état de leur réception des textes afin de repérer les obstacles éventuels à </w:t>
            </w:r>
            <w:r w:rsidRPr="004E509D">
              <w:rPr>
                <w:rFonts w:cs="Calibri"/>
                <w:sz w:val="20"/>
                <w:szCs w:val="20"/>
              </w:rPr>
              <w:lastRenderedPageBreak/>
              <w:t>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12" w:name="_Toc415063679"/>
      <w:bookmarkStart w:id="13"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12"/>
      <w:bookmarkEnd w:id="13"/>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525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lastRenderedPageBreak/>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lastRenderedPageBreak/>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Écrits de travail pour formuler des impressions de lecture, 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Recours régulier à l’écriture aux différentes étapes des apprentissages : au début pour recueillir des impressions, 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En lien avec la lecture, prise de conscience des éléments qui assurent la cohérence du texte (connecteurs logiques, </w:t>
            </w:r>
            <w:r w:rsidRPr="00D46ACB">
              <w:rPr>
                <w:rFonts w:cs="Calibri"/>
                <w:sz w:val="20"/>
                <w:szCs w:val="20"/>
              </w:rPr>
              <w:lastRenderedPageBreak/>
              <w:t>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Prise en compte de la notion de paragraphe et des formes 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14" w:name="_Toc415063680"/>
      <w:bookmarkStart w:id="15"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14"/>
      <w:bookmarkEnd w:id="15"/>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52"/>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lastRenderedPageBreak/>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lastRenderedPageBreak/>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8"/>
          <w:footerReference w:type="default" r:id="rId9"/>
          <w:headerReference w:type="first" r:id="rId10"/>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2070"/>
        <w:gridCol w:w="2069"/>
        <w:gridCol w:w="2069"/>
        <w:gridCol w:w="2299"/>
        <w:gridCol w:w="2069"/>
        <w:gridCol w:w="2069"/>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w:t>
            </w:r>
            <w:r w:rsidRPr="00C00722">
              <w:rPr>
                <w:rFonts w:eastAsia="Times New Roman" w:cs="Calibri"/>
                <w:bCs/>
                <w:sz w:val="20"/>
                <w:szCs w:val="20"/>
                <w:lang w:eastAsia="fr-FR"/>
              </w:rPr>
              <w:lastRenderedPageBreak/>
              <w:t>célébrant le monde 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195"/>
        <w:gridCol w:w="3195"/>
        <w:gridCol w:w="3441"/>
        <w:gridCol w:w="2704"/>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le sens des émotions fortes que suscitent la description ou la représentation des monstres </w:t>
            </w:r>
            <w:r w:rsidRPr="00C00722">
              <w:rPr>
                <w:rFonts w:eastAsia="Times New Roman" w:cs="Calibri"/>
                <w:bCs/>
                <w:sz w:val="20"/>
                <w:szCs w:val="20"/>
                <w:lang w:eastAsia="fr-FR"/>
              </w:rPr>
              <w:lastRenderedPageBreak/>
              <w:t>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raisons de 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lastRenderedPageBreak/>
              <w:t>- comprendre en quoi ces récits et ces créations poétiques répondent à des questions fondamentales, et en quoi ils 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w:t>
            </w:r>
            <w:r w:rsidRPr="00C00722">
              <w:rPr>
                <w:rFonts w:eastAsia="Times New Roman" w:cs="Calibri"/>
                <w:bCs/>
                <w:sz w:val="20"/>
                <w:szCs w:val="20"/>
                <w:lang w:eastAsia="fr-FR"/>
              </w:rPr>
              <w:lastRenderedPageBreak/>
              <w:t>ruses de l’intelligence aux 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1"/>
          <w:headerReference w:type="default" r:id="rId12"/>
          <w:footerReference w:type="even" r:id="rId13"/>
          <w:footerReference w:type="default" r:id="rId14"/>
          <w:headerReference w:type="first" r:id="rId15"/>
          <w:footerReference w:type="first" r:id="rId16"/>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E6451E" w:rsidRDefault="0069791B" w:rsidP="00D71A68">
      <w:pPr>
        <w:spacing w:after="0" w:line="240" w:lineRule="auto"/>
        <w:jc w:val="both"/>
        <w:rPr>
          <w:rFonts w:cs="Calibri"/>
          <w:sz w:val="20"/>
          <w:szCs w:val="20"/>
        </w:rPr>
      </w:pPr>
      <w:r>
        <w:rPr>
          <w:rFonts w:cs="Calibri"/>
          <w:bCs/>
          <w:sz w:val="20"/>
          <w:szCs w:val="20"/>
        </w:rPr>
        <w:br w:type="page"/>
      </w:r>
      <w:r w:rsidR="00D71A68" w:rsidRPr="00E6451E">
        <w:rPr>
          <w:rFonts w:cs="Calibri"/>
          <w:sz w:val="20"/>
          <w:szCs w:val="20"/>
        </w:rPr>
        <w:lastRenderedPageBreak/>
        <w:t xml:space="preserve"> </w:t>
      </w: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FB6044" w:rsidRDefault="0069791B" w:rsidP="0069791B">
      <w:pPr>
        <w:spacing w:after="0" w:line="240" w:lineRule="auto"/>
        <w:rPr>
          <w:rFonts w:cs="Calibri"/>
          <w:b/>
          <w:color w:val="31849B"/>
          <w:sz w:val="32"/>
          <w:szCs w:val="32"/>
        </w:rPr>
      </w:pP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7962"/>
        <w:gridCol w:w="228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158"/>
        <w:gridCol w:w="4093"/>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lastRenderedPageBreak/>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787"/>
        <w:gridCol w:w="4464"/>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lastRenderedPageBreak/>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lastRenderedPageBreak/>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lastRenderedPageBreak/>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858"/>
        <w:gridCol w:w="4393"/>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Visite de musée, visionnage de quelques grandes œuvres marquantes du patrimoine cinématographique : repérage de procédés et 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lastRenderedPageBreak/>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lastRenderedPageBreak/>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lastRenderedPageBreak/>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181"/>
        <w:gridCol w:w="6"/>
        <w:gridCol w:w="4051"/>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Approfondissement des propriétés des notions grammaticales nécessaires à la correction orthographique et à la production d’un 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 xml:space="preserve">extension de la classe des </w:t>
            </w:r>
            <w:r w:rsidRPr="00E6451E">
              <w:rPr>
                <w:rFonts w:cs="Calibri"/>
                <w:bCs/>
                <w:iCs/>
                <w:sz w:val="20"/>
                <w:szCs w:val="20"/>
              </w:rPr>
              <w:lastRenderedPageBreak/>
              <w:t>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lastRenderedPageBreak/>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lastRenderedPageBreak/>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lastRenderedPageBreak/>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Observation, manipulation des formes, classements, organisation des savoirs lexicaux (établissement de collections, etc.) et 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 xml:space="preserve">Constitution de familles de mots à partir de racines latines courantes ; quelques exemples d'étymons grecs appartenant au vocabulaire </w:t>
            </w:r>
            <w:r w:rsidRPr="00E6451E">
              <w:rPr>
                <w:rFonts w:eastAsia="Times New Roman" w:cs="Calibri"/>
                <w:bCs/>
                <w:iCs/>
                <w:kern w:val="1"/>
                <w:sz w:val="20"/>
                <w:szCs w:val="20"/>
                <w:lang w:eastAsia="hi-IN" w:bidi="hi-IN"/>
              </w:rPr>
              <w:lastRenderedPageBreak/>
              <w:t>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lastRenderedPageBreak/>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lastRenderedPageBreak/>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lastRenderedPageBreak/>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lastRenderedPageBreak/>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lastRenderedPageBreak/>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3"/>
          <w:headerReference w:type="default" r:id="rId24"/>
          <w:footerReference w:type="even" r:id="rId25"/>
          <w:footerReference w:type="default" r:id="rId26"/>
          <w:headerReference w:type="first" r:id="rId27"/>
          <w:footerReference w:type="first" r:id="rId28"/>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lastRenderedPageBreak/>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passages </w:t>
      </w:r>
      <w:r w:rsidRPr="00E6451E">
        <w:rPr>
          <w:rFonts w:cs="Calibri"/>
          <w:sz w:val="20"/>
          <w:szCs w:val="20"/>
          <w:lang w:eastAsia="ar-SA"/>
        </w:rPr>
        <w:lastRenderedPageBreak/>
        <w:t xml:space="preserve">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lastRenderedPageBreak/>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D71A68" w:rsidP="00D71A68">
      <w:pPr>
        <w:spacing w:after="0" w:line="240" w:lineRule="auto"/>
        <w:rPr>
          <w:rFonts w:cs="Calibri"/>
          <w:sz w:val="20"/>
          <w:szCs w:val="20"/>
        </w:rPr>
      </w:pPr>
      <w:r w:rsidRPr="00E6451E">
        <w:rPr>
          <w:rFonts w:cs="Calibri"/>
          <w:sz w:val="20"/>
          <w:szCs w:val="20"/>
        </w:rPr>
        <w:t xml:space="preserve"> </w:t>
      </w:r>
    </w:p>
    <w:p w:rsidR="009976E5" w:rsidRPr="003B72A0" w:rsidRDefault="009976E5" w:rsidP="009976E5">
      <w:pPr>
        <w:spacing w:after="0" w:line="240" w:lineRule="auto"/>
        <w:jc w:val="both"/>
        <w:rPr>
          <w:sz w:val="20"/>
          <w:szCs w:val="20"/>
        </w:rPr>
      </w:pPr>
    </w:p>
    <w:sectPr w:rsidR="009976E5" w:rsidRPr="003B72A0" w:rsidSect="009976E5">
      <w:footerReference w:type="default" r:id="rId29"/>
      <w:headerReference w:type="first" r:id="rId30"/>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2E" w:rsidRDefault="0086792E" w:rsidP="009976E5">
      <w:pPr>
        <w:spacing w:after="0" w:line="240" w:lineRule="auto"/>
      </w:pPr>
      <w:r>
        <w:separator/>
      </w:r>
    </w:p>
  </w:endnote>
  <w:endnote w:type="continuationSeparator" w:id="0">
    <w:p w:rsidR="0086792E" w:rsidRDefault="0086792E"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rsidP="00435082">
    <w:pPr>
      <w:pStyle w:val="Pieddepage"/>
      <w:jc w:val="right"/>
      <w:rPr>
        <w:lang w:val="fr-FR"/>
      </w:rPr>
    </w:pPr>
    <w:r>
      <w:fldChar w:fldCharType="begin"/>
    </w:r>
    <w:r>
      <w:instrText>PAGE   \* MERGEFORMAT</w:instrText>
    </w:r>
    <w:r>
      <w:fldChar w:fldCharType="separate"/>
    </w:r>
    <w:r w:rsidR="00D71A68" w:rsidRPr="00D71A68">
      <w:rPr>
        <w:noProof/>
        <w:lang w:val="fr-FR"/>
      </w:rPr>
      <w:t>22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D71A68">
      <w:rPr>
        <w:noProof/>
      </w:rPr>
      <w:t>52</w:t>
    </w:r>
    <w:r>
      <w:fldChar w:fldCharType="end"/>
    </w:r>
  </w:p>
  <w:p w:rsidR="0069439A" w:rsidRDefault="006943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PAGE   \* MERGEFORMAT</w:instrText>
    </w:r>
    <w:r>
      <w:fldChar w:fldCharType="separate"/>
    </w:r>
    <w:r w:rsidR="00D71A68" w:rsidRPr="00D71A68">
      <w:rPr>
        <w:noProof/>
        <w:lang w:val="fr-FR"/>
      </w:rPr>
      <w:t>31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 xml:space="preserve"> PAGE </w:instrText>
    </w:r>
    <w:r>
      <w:fldChar w:fldCharType="separate"/>
    </w:r>
    <w:r w:rsidR="00D71A68">
      <w:rPr>
        <w:noProof/>
      </w:rPr>
      <w:t>36</w:t>
    </w:r>
    <w:r>
      <w:fldChar w:fldCharType="end"/>
    </w:r>
  </w:p>
  <w:p w:rsidR="0069791B" w:rsidRDefault="0069791B">
    <w:pPr>
      <w:pStyle w:val="Pieddepage"/>
    </w:pPr>
  </w:p>
  <w:p w:rsidR="0069791B" w:rsidRDefault="0069791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 xml:space="preserve"> PAGE </w:instrText>
    </w:r>
    <w:r>
      <w:fldChar w:fldCharType="separate"/>
    </w:r>
    <w:r w:rsidR="00D71A68">
      <w:rPr>
        <w:noProof/>
      </w:rPr>
      <w:t>50</w:t>
    </w:r>
    <w:r>
      <w:fldChar w:fldCharType="end"/>
    </w:r>
  </w:p>
  <w:p w:rsidR="0069791B" w:rsidRDefault="006979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2E" w:rsidRDefault="0086792E" w:rsidP="009976E5">
      <w:pPr>
        <w:spacing w:after="0" w:line="240" w:lineRule="auto"/>
      </w:pPr>
      <w:r>
        <w:separator/>
      </w:r>
    </w:p>
  </w:footnote>
  <w:footnote w:type="continuationSeparator" w:id="0">
    <w:p w:rsidR="0086792E" w:rsidRDefault="0086792E" w:rsidP="009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rPr>
        <w:sz w:val="2"/>
      </w:rPr>
    </w:pPr>
  </w:p>
  <w:p w:rsidR="0069791B" w:rsidRDefault="0069791B">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Pr="00DB0AAC" w:rsidRDefault="0069791B">
    <w:pPr>
      <w:pStyle w:val="En-tte"/>
      <w:rPr>
        <w:sz w:val="2"/>
        <w:lang w:val="fr-FR"/>
      </w:rPr>
    </w:pPr>
  </w:p>
  <w:p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14:anchorId="54221DB2" wp14:editId="3BDA1F2A">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36FD5"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69791B" w:rsidRDefault="0069791B"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37379"/>
    <w:rsid w:val="008505F0"/>
    <w:rsid w:val="0086792E"/>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71A68"/>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B218C-8272-4712-9FB5-D46D220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60D6-945B-455A-B5F1-3931AB40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32674</Words>
  <Characters>179709</Characters>
  <Application>Microsoft Office Word</Application>
  <DocSecurity>0</DocSecurity>
  <Lines>1497</Lines>
  <Paragraphs>423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211960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3</cp:revision>
  <dcterms:created xsi:type="dcterms:W3CDTF">2015-12-01T13:33:00Z</dcterms:created>
  <dcterms:modified xsi:type="dcterms:W3CDTF">2015-12-01T13:33:00Z</dcterms:modified>
</cp:coreProperties>
</file>