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5" w:rsidRPr="003B72A0" w:rsidRDefault="009976E5" w:rsidP="009976E5">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1E6E70" w:rsidRPr="003B72A0" w:rsidRDefault="009976E5" w:rsidP="001E6E70">
      <w:pPr>
        <w:pStyle w:val="Style1"/>
      </w:pPr>
      <w:bookmarkStart w:id="0" w:name="_Toc430177044"/>
      <w:r>
        <w:br w:type="page"/>
      </w:r>
      <w:bookmarkStart w:id="1" w:name="_Toc428547127"/>
      <w:bookmarkStart w:id="2" w:name="_Toc430177053"/>
      <w:bookmarkEnd w:id="0"/>
      <w:r w:rsidR="001E6E70" w:rsidRPr="003B72A0">
        <w:lastRenderedPageBreak/>
        <w:t xml:space="preserve"> </w:t>
      </w:r>
    </w:p>
    <w:p w:rsidR="009976E5" w:rsidRPr="003B72A0" w:rsidRDefault="009976E5" w:rsidP="009976E5">
      <w:pPr>
        <w:pStyle w:val="Style1"/>
      </w:pPr>
      <w:r w:rsidRPr="003B72A0">
        <w:t>M</w:t>
      </w:r>
      <w:bookmarkEnd w:id="1"/>
      <w:bookmarkEnd w:id="2"/>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8"/>
        <w:gridCol w:w="2263"/>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3"/>
        <w:gridCol w:w="3898"/>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lastRenderedPageBreak/>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 xml:space="preserve">Dans le cas des longueurs, des masses, des contenances et des durées, les élèves ont une approche mathématique de la mesure d’une grandeur : ils déterminent combien de fois une grandeur à mesurer « contient » une grandeur de référence </w:t>
      </w:r>
      <w:r w:rsidRPr="003B72A0">
        <w:rPr>
          <w:sz w:val="20"/>
          <w:szCs w:val="20"/>
        </w:rPr>
        <w:lastRenderedPageBreak/>
        <w:t>(l’unité).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7"/>
        <w:gridCol w:w="3493"/>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lastRenderedPageBreak/>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lastRenderedPageBreak/>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lastRenderedPageBreak/>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 xml:space="preserve">Les problèmes de reproduction de figures (éventuellement à partir d’éléments déjà fournis de la figure à reproduire qu’il s’agit </w:t>
            </w:r>
            <w:r w:rsidRPr="003B72A0">
              <w:rPr>
                <w:rFonts w:eastAsia="MS Mincho"/>
                <w:sz w:val="20"/>
                <w:szCs w:val="20"/>
              </w:rPr>
              <w:lastRenderedPageBreak/>
              <w:t>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lastRenderedPageBreak/>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lastRenderedPageBreak/>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3" w:name="_Toc414540631"/>
      <w:bookmarkStart w:id="4"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1E6E70" w:rsidRPr="003E6190" w:rsidRDefault="0069791B" w:rsidP="001E6E70">
      <w:pPr>
        <w:spacing w:after="0" w:line="240" w:lineRule="auto"/>
        <w:ind w:right="1134"/>
      </w:pPr>
      <w:r>
        <w:rPr>
          <w:rFonts w:cs="Calibri"/>
        </w:rPr>
        <w:br w:type="page"/>
      </w:r>
      <w:bookmarkStart w:id="5" w:name="_Toc429985000"/>
      <w:bookmarkEnd w:id="3"/>
      <w:bookmarkEnd w:id="4"/>
      <w:r w:rsidR="001E6E70" w:rsidRPr="003E6190">
        <w:lastRenderedPageBreak/>
        <w:t xml:space="preserve"> </w:t>
      </w:r>
    </w:p>
    <w:p w:rsidR="0069791B" w:rsidRPr="003E6190" w:rsidRDefault="0069791B" w:rsidP="0069791B">
      <w:pPr>
        <w:pStyle w:val="Style1"/>
      </w:pPr>
      <w:r w:rsidRPr="003E6190">
        <w:t>Mathématiques</w:t>
      </w:r>
      <w:bookmarkEnd w:id="5"/>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977"/>
        <w:gridCol w:w="1274"/>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lastRenderedPageBreak/>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9"/>
        <w:gridCol w:w="476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5"/>
        <w:gridCol w:w="4326"/>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327"/>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lastRenderedPageBreak/>
              <w:t>Perpendicularité, parallélisme (construction de droites parallèles, 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lastRenderedPageBreak/>
              <w:t>Exemples d’instruments : règle graduée, équerre, 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10372A" w:rsidRDefault="0069791B" w:rsidP="0069791B">
      <w:pPr>
        <w:spacing w:after="0" w:line="240" w:lineRule="auto"/>
        <w:outlineLvl w:val="0"/>
        <w:rPr>
          <w:rFonts w:cs="Calibri"/>
          <w:b/>
          <w:caps/>
          <w:color w:val="31849B"/>
          <w:sz w:val="28"/>
          <w:szCs w:val="28"/>
        </w:rPr>
      </w:pPr>
      <w:bookmarkStart w:id="6" w:name="_GoBack"/>
      <w:bookmarkEnd w:id="6"/>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7" w:name="OLE_LINK81"/>
      <w:bookmarkStart w:id="8"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7"/>
      <w:bookmarkEnd w:id="8"/>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198"/>
        <w:gridCol w:w="5053"/>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9" w:name="OLE_LINK79"/>
            <w:bookmarkStart w:id="10" w:name="OLE_LINK80"/>
            <w:r w:rsidRPr="00E6451E">
              <w:rPr>
                <w:rFonts w:cs="Calibri"/>
                <w:color w:val="000000"/>
                <w:szCs w:val="20"/>
              </w:rPr>
              <w:t>Utiliser les nombres pour comparer, calculer et résoudre des problèmes</w:t>
            </w:r>
          </w:p>
          <w:bookmarkEnd w:id="9"/>
          <w:bookmarkEnd w:id="10"/>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11" w:name="OLE_LINK11"/>
            <w:bookmarkStart w:id="12"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11"/>
      <w:bookmarkEnd w:id="12"/>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13" w:name="OLE_LINK89"/>
            <w:bookmarkStart w:id="14" w:name="OLE_LINK90"/>
            <w:r w:rsidRPr="00E6451E">
              <w:rPr>
                <w:rFonts w:cs="Calibri"/>
                <w:color w:val="000000"/>
                <w:szCs w:val="20"/>
              </w:rPr>
              <w:t>Définition des puissances d’un nombre</w:t>
            </w:r>
            <w:bookmarkEnd w:id="13"/>
            <w:bookmarkEnd w:id="14"/>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Démontrer des critères de divisibilité (par exemple par 2, 3, 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198"/>
        <w:gridCol w:w="5053"/>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15" w:name="OLE_LINK101"/>
            <w:bookmarkStart w:id="16" w:name="OLE_LINK102"/>
            <w:r w:rsidRPr="00E6451E">
              <w:rPr>
                <w:rFonts w:cs="Calibri"/>
                <w:color w:val="000000"/>
                <w:szCs w:val="20"/>
              </w:rPr>
              <w:t>médiane</w:t>
            </w:r>
            <w:bookmarkEnd w:id="15"/>
            <w:bookmarkEnd w:id="16"/>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17" w:name="OLE_LINK105"/>
            <w:bookmarkStart w:id="18"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17"/>
            <w:bookmarkEnd w:id="18"/>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19" w:name="OLE_LINK107"/>
            <w:bookmarkStart w:id="20"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19"/>
            <w:bookmarkEnd w:id="20"/>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21" w:name="OLE_LINK147"/>
            <w:bookmarkStart w:id="22"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21"/>
          <w:bookmarkEnd w:id="22"/>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198"/>
        <w:gridCol w:w="5053"/>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23" w:name="OLE_LINK109"/>
            <w:bookmarkStart w:id="24"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23"/>
          <w:bookmarkEnd w:id="24"/>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197"/>
        <w:gridCol w:w="5054"/>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un logiciel de géométrie dynamique, notamment pour transformer une figure par translation, symétrie, 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25"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25"/>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198"/>
        <w:gridCol w:w="5053"/>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lastRenderedPageBreak/>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Initiation au chiffrement (Morse, chiffre de César, code 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lastRenderedPageBreak/>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lastRenderedPageBreak/>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179"/>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54" w:rsidRDefault="002F6554" w:rsidP="009976E5">
      <w:pPr>
        <w:spacing w:after="0" w:line="240" w:lineRule="auto"/>
      </w:pPr>
      <w:r>
        <w:separator/>
      </w:r>
    </w:p>
  </w:endnote>
  <w:endnote w:type="continuationSeparator" w:id="0">
    <w:p w:rsidR="002F6554" w:rsidRDefault="002F6554"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1E6E70">
      <w:rPr>
        <w:noProof/>
      </w:rPr>
      <w:t>36</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54" w:rsidRDefault="002F6554" w:rsidP="009976E5">
      <w:pPr>
        <w:spacing w:after="0" w:line="240" w:lineRule="auto"/>
      </w:pPr>
      <w:r>
        <w:separator/>
      </w:r>
    </w:p>
  </w:footnote>
  <w:footnote w:type="continuationSeparator" w:id="0">
    <w:p w:rsidR="002F6554" w:rsidRDefault="002F6554"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1E6E70"/>
    <w:rsid w:val="00232E12"/>
    <w:rsid w:val="00233222"/>
    <w:rsid w:val="002408EF"/>
    <w:rsid w:val="002433DE"/>
    <w:rsid w:val="002555DC"/>
    <w:rsid w:val="00260241"/>
    <w:rsid w:val="00274C77"/>
    <w:rsid w:val="00291B16"/>
    <w:rsid w:val="002C0817"/>
    <w:rsid w:val="002C52E5"/>
    <w:rsid w:val="002E3E89"/>
    <w:rsid w:val="002F5DF2"/>
    <w:rsid w:val="002F6554"/>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5086-05B2-487D-9C33-ED803E51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19365</Words>
  <Characters>106508</Characters>
  <Application>Microsoft Office Word</Application>
  <DocSecurity>0</DocSecurity>
  <Lines>887</Lines>
  <Paragraphs>251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2015-12-01T13:52:00Z</dcterms:created>
  <dcterms:modified xsi:type="dcterms:W3CDTF">2015-12-01T13:52:00Z</dcterms:modified>
</cp:coreProperties>
</file>