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1B" w:rsidRPr="003B72A0" w:rsidRDefault="0069791B" w:rsidP="0069791B">
      <w:pPr>
        <w:spacing w:after="0" w:line="240" w:lineRule="auto"/>
        <w:rPr>
          <w:rFonts w:cs="Calibri"/>
          <w:sz w:val="56"/>
          <w:szCs w:val="56"/>
        </w:rPr>
      </w:pPr>
      <w:bookmarkStart w:id="0" w:name="_Toc414540631"/>
      <w:bookmarkStart w:id="1"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2" w:name="_Toc429984991"/>
      <w:r w:rsidRPr="00750652">
        <w:rPr>
          <w:b/>
          <w:color w:val="31849B"/>
          <w:sz w:val="32"/>
          <w:szCs w:val="32"/>
        </w:rPr>
        <w:lastRenderedPageBreak/>
        <w:t>Volet 1</w:t>
      </w:r>
      <w:bookmarkEnd w:id="0"/>
      <w:r w:rsidRPr="00750652">
        <w:rPr>
          <w:b/>
          <w:color w:val="31849B"/>
          <w:sz w:val="32"/>
          <w:szCs w:val="32"/>
        </w:rPr>
        <w:t> : les spécificités du cycle de consolidation (cycle 3</w:t>
      </w:r>
      <w:bookmarkEnd w:id="1"/>
      <w:r w:rsidRPr="00750652">
        <w:rPr>
          <w:b/>
          <w:color w:val="31849B"/>
          <w:sz w:val="32"/>
          <w:szCs w:val="32"/>
        </w:rPr>
        <w:t>)</w:t>
      </w:r>
      <w:bookmarkEnd w:id="2"/>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1"/>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2"/>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w:t>
      </w:r>
      <w:r w:rsidRPr="004E509D">
        <w:rPr>
          <w:rFonts w:cs="Calibri"/>
          <w:sz w:val="20"/>
        </w:rPr>
        <w:lastRenderedPageBreak/>
        <w:t xml:space="preserve">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 w:name="_Toc416423217"/>
      <w:bookmarkStart w:id="4" w:name="_Toc429984992"/>
      <w:r w:rsidRPr="00AE24A2">
        <w:lastRenderedPageBreak/>
        <w:t>Volet 2 : Contributions essentielles des différents enseignements au socle commun</w:t>
      </w:r>
      <w:bookmarkEnd w:id="3"/>
      <w:bookmarkEnd w:id="4"/>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5" w:name="_Toc415063676"/>
      <w:bookmarkStart w:id="6"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7"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5"/>
      <w:bookmarkEnd w:id="6"/>
      <w:r w:rsidRPr="00750652">
        <w:rPr>
          <w:b/>
          <w:color w:val="31849B"/>
          <w:sz w:val="28"/>
          <w:szCs w:val="28"/>
        </w:rPr>
        <w:t>rançais</w:t>
      </w:r>
      <w:bookmarkEnd w:id="7"/>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2327"/>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5612"/>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Identification et mémorisation des informations 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lastRenderedPageBreak/>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lastRenderedPageBreak/>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lastRenderedPageBreak/>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4812"/>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xml:space="preserve">, une </w:t>
            </w:r>
            <w:r w:rsidRPr="004E509D">
              <w:rPr>
                <w:rFonts w:cs="Calibri"/>
                <w:sz w:val="20"/>
                <w:szCs w:val="20"/>
              </w:rPr>
              <w:lastRenderedPageBreak/>
              <w:t>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xml:space="preserve">Dans les classes à double niveau, les mêmes textes et œuvres peuvent être donnés à lire aux élèves de CM1 et de CM2. On veillera à ce que les élèves de CM1 puissent faire état de leur réception des textes afin de repérer les obstacles éventuels à </w:t>
            </w:r>
            <w:r w:rsidRPr="004E509D">
              <w:rPr>
                <w:rFonts w:cs="Calibri"/>
                <w:sz w:val="20"/>
                <w:szCs w:val="20"/>
              </w:rPr>
              <w:lastRenderedPageBreak/>
              <w:t>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8" w:name="_Toc415063679"/>
      <w:bookmarkStart w:id="9"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8"/>
      <w:bookmarkEnd w:id="9"/>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25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lastRenderedPageBreak/>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Recours régulier à l’écriture aux différentes étapes des apprentissages : au début pour recueillir des impressions, 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En lien avec la lecture, prise de conscience des éléments qui assurent la cohérence du texte (connecteurs logiques, </w:t>
            </w:r>
            <w:r w:rsidRPr="00D46ACB">
              <w:rPr>
                <w:rFonts w:cs="Calibri"/>
                <w:sz w:val="20"/>
                <w:szCs w:val="20"/>
              </w:rPr>
              <w:lastRenderedPageBreak/>
              <w:t>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10" w:name="_Toc415063680"/>
      <w:bookmarkStart w:id="11"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10"/>
      <w:bookmarkEnd w:id="11"/>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52"/>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lastRenderedPageBreak/>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lastRenderedPageBreak/>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8"/>
          <w:footerReference w:type="default" r:id="rId9"/>
          <w:headerReference w:type="first" r:id="rId10"/>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2070"/>
        <w:gridCol w:w="2069"/>
        <w:gridCol w:w="2069"/>
        <w:gridCol w:w="2299"/>
        <w:gridCol w:w="2069"/>
        <w:gridCol w:w="2069"/>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w:t>
            </w:r>
            <w:r w:rsidRPr="00C00722">
              <w:rPr>
                <w:rFonts w:eastAsia="Times New Roman" w:cs="Calibri"/>
                <w:bCs/>
                <w:sz w:val="20"/>
                <w:szCs w:val="20"/>
                <w:lang w:eastAsia="fr-FR"/>
              </w:rPr>
              <w:lastRenderedPageBreak/>
              <w:t>célébrant le monde 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195"/>
        <w:gridCol w:w="3195"/>
        <w:gridCol w:w="3441"/>
        <w:gridCol w:w="2704"/>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le sens des émotions fortes que suscitent la description ou la représentation des monstres </w:t>
            </w:r>
            <w:r w:rsidRPr="00C00722">
              <w:rPr>
                <w:rFonts w:eastAsia="Times New Roman" w:cs="Calibri"/>
                <w:bCs/>
                <w:sz w:val="20"/>
                <w:szCs w:val="20"/>
                <w:lang w:eastAsia="fr-FR"/>
              </w:rPr>
              <w:lastRenderedPageBreak/>
              <w:t>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raisons de 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lastRenderedPageBreak/>
              <w:t>- comprendre en quoi ces récits et ces créations poétiques répondent à des questions fondamentales, et en quoi ils 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w:t>
            </w:r>
            <w:r w:rsidRPr="00C00722">
              <w:rPr>
                <w:rFonts w:eastAsia="Times New Roman" w:cs="Calibri"/>
                <w:bCs/>
                <w:sz w:val="20"/>
                <w:szCs w:val="20"/>
                <w:lang w:eastAsia="fr-FR"/>
              </w:rPr>
              <w:lastRenderedPageBreak/>
              <w:t>ruses de l’intelligence aux 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1"/>
          <w:headerReference w:type="default" r:id="rId12"/>
          <w:footerReference w:type="even" r:id="rId13"/>
          <w:footerReference w:type="default" r:id="rId14"/>
          <w:headerReference w:type="first" r:id="rId15"/>
          <w:footerReference w:type="first" r:id="rId16"/>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12" w:name="_Toc429984994"/>
      <w:r w:rsidRPr="00750652">
        <w:rPr>
          <w:b/>
          <w:color w:val="31849B"/>
          <w:sz w:val="28"/>
          <w:szCs w:val="28"/>
        </w:rPr>
        <w:lastRenderedPageBreak/>
        <w:t>Langues vivantes (étrangères ou régionales</w:t>
      </w:r>
      <w:bookmarkEnd w:id="12"/>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8"/>
        <w:gridCol w:w="2273"/>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lastRenderedPageBreak/>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17"/>
        <w:gridCol w:w="3417"/>
        <w:gridCol w:w="341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lastRenderedPageBreak/>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7"/>
        <w:gridCol w:w="2144"/>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7"/>
        <w:gridCol w:w="2144"/>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 xml:space="preserve">les pratiques artistiques de l’image fixe et </w:t>
      </w:r>
      <w:r>
        <w:rPr>
          <w:rFonts w:cs="Calibri"/>
          <w:sz w:val="20"/>
          <w:szCs w:val="20"/>
          <w:lang w:eastAsia="zh-CN" w:bidi="hi-IN"/>
        </w:rPr>
        <w:lastRenderedPageBreak/>
        <w:t>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48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w:t>
            </w:r>
            <w:r w:rsidRPr="0070001F">
              <w:rPr>
                <w:rFonts w:eastAsia="Arial Unicode MS" w:cs="Arial"/>
                <w:color w:val="000000"/>
                <w:sz w:val="20"/>
                <w:szCs w:val="20"/>
                <w:u w:color="000000"/>
                <w:bdr w:val="nil"/>
                <w:lang w:eastAsia="fr-FR"/>
              </w:rPr>
              <w:lastRenderedPageBreak/>
              <w:t>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lastRenderedPageBreak/>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lastRenderedPageBreak/>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lastRenderedPageBreak/>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1"/>
        <w:gridCol w:w="229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7"/>
        <w:gridCol w:w="361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Présentation par un élève – ou un groupe d’élèves – d’un extrait déjà écouté et </w:t>
            </w:r>
            <w:r w:rsidRPr="00FB7DF3">
              <w:rPr>
                <w:rFonts w:ascii="Calibri" w:hAnsi="Calibri" w:cs="Calibri"/>
                <w:sz w:val="20"/>
                <w:szCs w:val="20"/>
              </w:rPr>
              <w:lastRenderedPageBreak/>
              <w:t>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261"/>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315"/>
        <w:gridCol w:w="3647"/>
        <w:gridCol w:w="59"/>
        <w:gridCol w:w="223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lastRenderedPageBreak/>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315"/>
        <w:gridCol w:w="3706"/>
        <w:gridCol w:w="223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13" w:name="OLE_LINK1"/>
            <w:bookmarkStart w:id="14"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13"/>
          <w:bookmarkEnd w:id="14"/>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lastRenderedPageBreak/>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w:t>
            </w:r>
            <w:r w:rsidRPr="00232F1D">
              <w:rPr>
                <w:rFonts w:cs="Calibri"/>
                <w:sz w:val="20"/>
                <w:szCs w:val="20"/>
              </w:rPr>
              <w:lastRenderedPageBreak/>
              <w:t>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15" w:name="_Toc429984997"/>
      <w:r w:rsidRPr="006E79EA">
        <w:t>E</w:t>
      </w:r>
      <w:bookmarkEnd w:id="15"/>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16" w:name="_Toc429984998"/>
      <w:r w:rsidRPr="002174FF">
        <w:rPr>
          <w:b/>
          <w:color w:val="31849B"/>
          <w:sz w:val="28"/>
          <w:szCs w:val="28"/>
        </w:rPr>
        <w:lastRenderedPageBreak/>
        <w:t>H</w:t>
      </w:r>
      <w:bookmarkEnd w:id="16"/>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01"/>
        <w:gridCol w:w="1250"/>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lastRenderedPageBreak/>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19"/>
        <w:gridCol w:w="643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w:t>
            </w:r>
            <w:r w:rsidRPr="00844A3A">
              <w:rPr>
                <w:rFonts w:ascii="Calibri" w:hAnsi="Calibri" w:cs="Calibri"/>
                <w:sz w:val="20"/>
                <w:szCs w:val="20"/>
                <w:lang w:val="fr-FR"/>
              </w:rPr>
              <w:lastRenderedPageBreak/>
              <w:t xml:space="preserve">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lastRenderedPageBreak/>
        <w:br w:type="page"/>
      </w:r>
    </w:p>
    <w:tbl>
      <w:tblPr>
        <w:tblW w:w="5000" w:type="pct"/>
        <w:tblLayout w:type="fixed"/>
        <w:tblCellMar>
          <w:left w:w="3" w:type="dxa"/>
          <w:right w:w="55" w:type="dxa"/>
        </w:tblCellMar>
        <w:tblLook w:val="0000" w:firstRow="0" w:lastRow="0" w:firstColumn="0" w:lastColumn="0" w:noHBand="0" w:noVBand="0"/>
      </w:tblPr>
      <w:tblGrid>
        <w:gridCol w:w="3800"/>
        <w:gridCol w:w="645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799"/>
        <w:gridCol w:w="6452"/>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788"/>
        <w:gridCol w:w="6467"/>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17"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17"/>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788"/>
        <w:gridCol w:w="6467"/>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55"/>
        <w:gridCol w:w="6996"/>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18" w:name="_Toc429984999"/>
      <w:r>
        <w:lastRenderedPageBreak/>
        <w:br/>
      </w:r>
    </w:p>
    <w:p w:rsidR="0069791B" w:rsidRDefault="0069791B" w:rsidP="0069791B">
      <w:pPr>
        <w:pStyle w:val="Style1"/>
      </w:pPr>
      <w:r w:rsidRPr="006B5EA0">
        <w:t>Sciences et technologie</w:t>
      </w:r>
      <w:bookmarkEnd w:id="18"/>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gridCol w:w="2114"/>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lastRenderedPageBreak/>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2"/>
        <w:gridCol w:w="3769"/>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lastRenderedPageBreak/>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lastRenderedPageBreak/>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lastRenderedPageBreak/>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 xml:space="preserve">L’observation macroscopique de la matière sous une grande variété de formes et d’états, leur caractérisation et leurs usages relèvent des classes de CM1 et CM2. Des exemples de mélanges solides (alliages, minéraux…), </w:t>
            </w:r>
            <w:r w:rsidRPr="003E5240">
              <w:rPr>
                <w:rFonts w:cs="Calibri"/>
              </w:rPr>
              <w:lastRenderedPageBreak/>
              <w:t>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71"/>
        <w:gridCol w:w="3697"/>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lastRenderedPageBreak/>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lastRenderedPageBreak/>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3699"/>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lastRenderedPageBreak/>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 xml:space="preserve">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w:t>
            </w:r>
            <w:r w:rsidRPr="00E06BAA">
              <w:rPr>
                <w:rFonts w:eastAsia="Cambria"/>
                <w:color w:val="auto"/>
                <w:sz w:val="20"/>
                <w:szCs w:val="20"/>
              </w:rPr>
              <w:lastRenderedPageBreak/>
              <w:t>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696"/>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lastRenderedPageBreak/>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19" w:name="_Toc429985000"/>
      <w:r>
        <w:br w:type="page"/>
      </w:r>
      <w:r w:rsidRPr="003E6190">
        <w:lastRenderedPageBreak/>
        <w:t>Mathématiques</w:t>
      </w:r>
      <w:bookmarkEnd w:id="19"/>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977"/>
        <w:gridCol w:w="1274"/>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lastRenderedPageBreak/>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lastRenderedPageBreak/>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9"/>
        <w:gridCol w:w="476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lastRenderedPageBreak/>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lastRenderedPageBreak/>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lastRenderedPageBreak/>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5"/>
        <w:gridCol w:w="4326"/>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lastRenderedPageBreak/>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lastRenderedPageBreak/>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w:t>
            </w:r>
            <w:r w:rsidRPr="00F316A8">
              <w:rPr>
                <w:rFonts w:cs="Calibri"/>
                <w:kern w:val="24"/>
                <w:sz w:val="20"/>
                <w:szCs w:val="20"/>
              </w:rPr>
              <w:lastRenderedPageBreak/>
              <w:t xml:space="preserve">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327"/>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lastRenderedPageBreak/>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Perpendicularité, parallélisme (construction de droites parallèles, 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Situations conduisant les élèves à utiliser des techniques qui évoluent en fonction des supports et des instruments choisis ; par exemple pour la symétrie axiale, passer du pliage ou de l’utilisation </w:t>
            </w:r>
            <w:r w:rsidRPr="00F316A8">
              <w:rPr>
                <w:rFonts w:cs="Calibri"/>
                <w:sz w:val="20"/>
                <w:szCs w:val="20"/>
              </w:rPr>
              <w:lastRenderedPageBreak/>
              <w:t>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lastRenderedPageBreak/>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bookmarkStart w:id="20" w:name="_GoBack"/>
      <w:bookmarkEnd w:id="20"/>
    </w:p>
    <w:sectPr w:rsidR="0069791B" w:rsidRPr="00E6451E" w:rsidSect="009976E5">
      <w:footerReference w:type="default" r:id="rId17"/>
      <w:headerReference w:type="first" r:id="rId18"/>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8A" w:rsidRDefault="00CB658A" w:rsidP="009976E5">
      <w:pPr>
        <w:spacing w:after="0" w:line="240" w:lineRule="auto"/>
      </w:pPr>
      <w:r>
        <w:separator/>
      </w:r>
    </w:p>
  </w:endnote>
  <w:endnote w:type="continuationSeparator" w:id="0">
    <w:p w:rsidR="00CB658A" w:rsidRDefault="00CB658A"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rsidP="00435082">
    <w:pPr>
      <w:pStyle w:val="Pieddepage"/>
      <w:jc w:val="right"/>
      <w:rPr>
        <w:lang w:val="fr-FR"/>
      </w:rPr>
    </w:pPr>
    <w:r>
      <w:fldChar w:fldCharType="begin"/>
    </w:r>
    <w:r>
      <w:instrText>PAGE   \* MERGEFORMAT</w:instrText>
    </w:r>
    <w:r>
      <w:fldChar w:fldCharType="separate"/>
    </w:r>
    <w:r w:rsidR="001240C4" w:rsidRPr="001240C4">
      <w:rPr>
        <w:noProof/>
        <w:lang w:val="fr-FR"/>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PAGE   \* MERGEFORMAT</w:instrText>
    </w:r>
    <w:r>
      <w:fldChar w:fldCharType="separate"/>
    </w:r>
    <w:r w:rsidR="001240C4" w:rsidRPr="001240C4">
      <w:rPr>
        <w:noProof/>
        <w:lang w:val="fr-FR"/>
      </w:rPr>
      <w:t>25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1240C4">
      <w:rPr>
        <w:noProof/>
      </w:rPr>
      <w:t>46</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8A" w:rsidRDefault="00CB658A" w:rsidP="009976E5">
      <w:pPr>
        <w:spacing w:after="0" w:line="240" w:lineRule="auto"/>
      </w:pPr>
      <w:r>
        <w:separator/>
      </w:r>
    </w:p>
  </w:footnote>
  <w:footnote w:type="continuationSeparator" w:id="0">
    <w:p w:rsidR="00CB658A" w:rsidRDefault="00CB658A" w:rsidP="009976E5">
      <w:pPr>
        <w:spacing w:after="0" w:line="240" w:lineRule="auto"/>
      </w:pPr>
      <w:r>
        <w:continuationSeparator/>
      </w:r>
    </w:p>
  </w:footnote>
  <w:footnote w:id="1">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2">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36FD5"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240C4"/>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B658A"/>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AD42-411C-4DED-8385-49BAE422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45281</Words>
  <Characters>249046</Characters>
  <Application>Microsoft Office Word</Application>
  <DocSecurity>0</DocSecurity>
  <Lines>2075</Lines>
  <Paragraphs>587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293740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2</cp:revision>
  <dcterms:created xsi:type="dcterms:W3CDTF">2015-12-01T13:25:00Z</dcterms:created>
  <dcterms:modified xsi:type="dcterms:W3CDTF">2015-12-01T13:25:00Z</dcterms:modified>
</cp:coreProperties>
</file>