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1B" w:rsidRPr="00E6451E" w:rsidRDefault="0069791B" w:rsidP="0069791B">
      <w:pPr>
        <w:spacing w:after="0" w:line="240" w:lineRule="auto"/>
        <w:rPr>
          <w:rFonts w:cs="Calibri"/>
          <w:sz w:val="20"/>
          <w:szCs w:val="20"/>
        </w:rPr>
      </w:pPr>
      <w:bookmarkStart w:id="0" w:name="_GoBack"/>
      <w:bookmarkEnd w:id="0"/>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lastRenderedPageBreak/>
        <w:br w:type="page"/>
      </w:r>
      <w:r w:rsidRPr="005A5D82">
        <w:rPr>
          <w:rFonts w:cs="Calibri"/>
          <w:b/>
          <w:color w:val="007F9F"/>
          <w:sz w:val="32"/>
          <w:szCs w:val="32"/>
        </w:rPr>
        <w:lastRenderedPageBreak/>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firstRow="1" w:lastRow="0" w:firstColumn="1" w:lastColumn="0" w:noHBand="0" w:noVBand="1"/>
      </w:tblPr>
      <w:tblGrid>
        <w:gridCol w:w="10261"/>
      </w:tblGrid>
      <w:tr w:rsidR="0069791B" w:rsidRPr="000048EE" w:rsidTr="00280402">
        <w:tc>
          <w:tcPr>
            <w:tcW w:w="10401" w:type="dxa"/>
            <w:shd w:val="clear" w:color="auto" w:fill="DAEEF3"/>
          </w:tcPr>
          <w:p w:rsidR="0069791B" w:rsidRPr="000048EE" w:rsidRDefault="0069791B" w:rsidP="00280402">
            <w:pPr>
              <w:pStyle w:val="Style1"/>
              <w:rPr>
                <w:rFonts w:ascii="Times New Roman" w:eastAsia="Times" w:hAnsi="Times New Roman"/>
              </w:rPr>
            </w:pPr>
          </w:p>
          <w:p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lastRenderedPageBreak/>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lastRenderedPageBreak/>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255"/>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80402">
            <w:pPr>
              <w:widowControl w:val="0"/>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251"/>
      </w:tblGrid>
      <w:tr w:rsidR="0069791B" w:rsidRPr="00E6451E" w:rsidTr="00280402">
        <w:trPr>
          <w:trHeight w:val="2073"/>
        </w:trPr>
        <w:tc>
          <w:tcPr>
            <w:tcW w:w="10371" w:type="dxa"/>
            <w:tcMar>
              <w:top w:w="55" w:type="dxa"/>
              <w:left w:w="55" w:type="dxa"/>
              <w:bottom w:w="55" w:type="dxa"/>
              <w:right w:w="55" w:type="dxa"/>
            </w:tcMar>
          </w:tcPr>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lastRenderedPageBreak/>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255"/>
      </w:tblGrid>
      <w:tr w:rsidR="0069791B" w:rsidRPr="00E6451E"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lastRenderedPageBreak/>
              <w:t>Domaine 2. Les méthodes et outils pour apprendre</w:t>
            </w:r>
          </w:p>
        </w:tc>
      </w:tr>
      <w:tr w:rsidR="0069791B" w:rsidRPr="00E6451E"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80402">
            <w:pPr>
              <w:widowControl w:val="0"/>
              <w:spacing w:after="0" w:line="240" w:lineRule="auto"/>
              <w:jc w:val="both"/>
              <w:rPr>
                <w:rFonts w:eastAsia="SimSun" w:cs="Calibri"/>
                <w:iCs/>
                <w:kern w:val="16"/>
                <w:sz w:val="20"/>
                <w:szCs w:val="20"/>
                <w:lang w:eastAsia="zh-CN" w:bidi="hi-IN"/>
              </w:rPr>
            </w:pP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255"/>
      </w:tblGrid>
      <w:tr w:rsidR="0069791B" w:rsidRPr="00E6451E"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80402">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255"/>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255"/>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xml:space="preserve">, leurs responsabilités d'homme, de femme et de citoyen(nes).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lastRenderedPageBreak/>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lastRenderedPageBreak/>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7962"/>
        <w:gridCol w:w="2289"/>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lastRenderedPageBreak/>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firstRow="0" w:lastRow="0" w:firstColumn="0" w:lastColumn="0" w:noHBand="0" w:noVBand="0"/>
      </w:tblPr>
      <w:tblGrid>
        <w:gridCol w:w="6284"/>
        <w:gridCol w:w="4091"/>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firstRow="0" w:lastRow="0" w:firstColumn="0" w:lastColumn="0" w:noHBand="0" w:noVBand="0"/>
      </w:tblPr>
      <w:tblGrid>
        <w:gridCol w:w="5889"/>
        <w:gridCol w:w="4486"/>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firstRow="0" w:lastRow="0" w:firstColumn="0" w:lastColumn="0" w:noHBand="0" w:noVBand="0"/>
      </w:tblPr>
      <w:tblGrid>
        <w:gridCol w:w="5961"/>
        <w:gridCol w:w="4470"/>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Visite de musée, visionnage de quelques grandes œuvres marquantes du patrimoine cinématographique : repérage de procédés et 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firstRow="0" w:lastRow="0" w:firstColumn="0" w:lastColumn="0" w:noHBand="0" w:noVBand="0"/>
      </w:tblPr>
      <w:tblGrid>
        <w:gridCol w:w="6193"/>
        <w:gridCol w:w="6"/>
        <w:gridCol w:w="4059"/>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Approfondissement des propriétés des notions grammaticales nécessaires à la correction orthographique et à la production d’un 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Observation, manipulation des formes, classements, organisation des savoirs lexicaux (établissement de collections, etc.) et 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firstRow="0" w:lastRow="0" w:firstColumn="0" w:lastColumn="0" w:noHBand="0" w:noVBand="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firstRow="0" w:lastRow="0" w:firstColumn="0" w:lastColumn="0" w:noHBand="0" w:noVBand="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14"/>
          <w:headerReference w:type="default" r:id="rId15"/>
          <w:footerReference w:type="even" r:id="rId16"/>
          <w:footerReference w:type="default" r:id="rId17"/>
          <w:headerReference w:type="first" r:id="rId18"/>
          <w:footerReference w:type="first" r:id="rId19"/>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639"/>
        <w:gridCol w:w="183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firstRow="1" w:lastRow="0" w:firstColumn="1" w:lastColumn="0" w:noHBand="0" w:noVBand="1"/>
      </w:tblPr>
      <w:tblGrid>
        <w:gridCol w:w="8439"/>
        <w:gridCol w:w="1936"/>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Exploiter des informations et de la documentation, notamment iconique, pour servir un projet de 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99"/>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hension et la compréhension de la 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La matérialité de l’œuvre ;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les rapports entre l’espace perçu, ressenti et l’espace représenté ou construit ; l’espace et le temps comme matériaux de l’œuvre, la mobilisation des sens ; le point 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Conception et réalisation d’un espace, d’une architecture en 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1"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1"/>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9067"/>
        <w:gridCol w:w="141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3443"/>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Quelques grandes œuvres musicales représentatives du patrimoine français, 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orientée - sur internet - sur un type de formation musicale, une catégorie, un style, une culture et présentation argumentée des choix 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d’œuvres et élaboration 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 garde un statut particulier : étant au cœur de la discipline éducation musicale, elle peut accueillir de nombreuses rencontres interdisciplinaires susceptibles de nourrir une large partie des compétences du programme comme de construire les 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 ; évolution des sciences et 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firstRow="0" w:lastRow="0" w:firstColumn="0" w:lastColumn="0" w:noHBand="0" w:noVBand="0"/>
      </w:tblPr>
      <w:tblGrid>
        <w:gridCol w:w="5961"/>
        <w:gridCol w:w="4550"/>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2"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2"/>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firstRow="0" w:lastRow="0" w:firstColumn="0" w:lastColumn="0" w:noHBand="0" w:noVBand="0"/>
      </w:tblPr>
      <w:tblGrid>
        <w:gridCol w:w="5962"/>
        <w:gridCol w:w="4549"/>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9162"/>
        <w:gridCol w:w="1213"/>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7731"/>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Les espaces de faible densité (espaces ruraux, montagnes, secteurs touristiques 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w:t>
      </w:r>
      <w:r w:rsidRPr="00E6451E">
        <w:rPr>
          <w:rFonts w:cs="Calibri"/>
          <w:i/>
          <w:sz w:val="20"/>
          <w:szCs w:val="20"/>
        </w:rPr>
        <w:lastRenderedPageBreak/>
        <w:t>’histoire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w:t>
      </w:r>
      <w:r w:rsidRPr="00E6451E">
        <w:rPr>
          <w:rFonts w:cs="Calibri"/>
          <w:sz w:val="20"/>
          <w:szCs w:val="20"/>
        </w:rPr>
        <w:lastRenderedPageBreak/>
        <w:t>s</w:t>
      </w:r>
      <w:r w:rsidRPr="00E6451E">
        <w:rPr>
          <w:rFonts w:cs="Calibri"/>
          <w:sz w:val="20"/>
          <w:szCs w:val="20"/>
        </w:rPr>
        <w:lastRenderedPageBreak/>
        <w:t xml:space="preserve">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w:t>
      </w:r>
      <w:r w:rsidRPr="00E6451E">
        <w:rPr>
          <w:rFonts w:eastAsia="SimSun" w:cs="Calibri"/>
          <w:color w:val="00000A"/>
          <w:sz w:val="20"/>
          <w:szCs w:val="20"/>
          <w:lang w:eastAsia="zh-CN" w:bidi="hi-IN"/>
        </w:rPr>
        <w:lastRenderedPageBreak/>
        <w:t xml:space="preserve"> de ressources halieutiques, de préservati</w:t>
      </w:r>
      <w:r w:rsidRPr="00E6451E">
        <w:rPr>
          <w:rFonts w:eastAsia="SimSun" w:cs="Calibri"/>
          <w:color w:val="00000A"/>
          <w:sz w:val="20"/>
          <w:szCs w:val="20"/>
          <w:lang w:eastAsia="zh-CN" w:bidi="hi-IN"/>
        </w:rPr>
        <w:lastRenderedPageBreak/>
        <w:t>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w:t>
      </w:r>
      <w:r w:rsidRPr="00E6451E">
        <w:rPr>
          <w:rFonts w:cs="Calibri"/>
          <w:sz w:val="20"/>
          <w:szCs w:val="20"/>
        </w:rPr>
        <w:lastRenderedPageBreak/>
        <w:t xml:space="preserve">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w:t>
      </w:r>
      <w:r w:rsidRPr="00E6451E">
        <w:rPr>
          <w:rFonts w:cs="Calibri"/>
          <w:sz w:val="20"/>
          <w:szCs w:val="20"/>
        </w:rPr>
        <w:lastRenderedPageBreak/>
        <w:t>p</w:t>
      </w:r>
      <w:r w:rsidRPr="00E6451E">
        <w:rPr>
          <w:rFonts w:cs="Calibri"/>
          <w:sz w:val="20"/>
          <w:szCs w:val="20"/>
        </w:rPr>
        <w:lastRenderedPageBreak/>
        <w:t>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t>Physique-Chimie</w:t>
      </w:r>
    </w:p>
    <w:p w:rsidR="0069791B" w:rsidRPr="00E6451E" w:rsidRDefault="0069791B" w:rsidP="0069791B">
      <w:pPr>
        <w:pStyle w:val="Listecouleur-Accent110"/>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(curiosité, ouverture d’esprit, remise en question de son idée, exploitat</w:t>
      </w:r>
      <w:r w:rsidRPr="00E6451E">
        <w:rPr>
          <w:rFonts w:cs="Calibri"/>
          <w:sz w:val="20"/>
          <w:szCs w:val="20"/>
        </w:rPr>
        <w:lastRenderedPageBreak/>
        <w:t xml:space="preserve">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thèmes forment l’ossature d’une lecture scientifique du monde naturel, ils participent de la culture scientifique et technique, ils permettent d’appréhender la grande variété et l’évolution des métiers et des formations ainsi que les enjeux économiques en relation av</w:t>
      </w:r>
      <w:r w:rsidRPr="00E6451E">
        <w:rPr>
          <w:rFonts w:cs="Calibri"/>
          <w:sz w:val="20"/>
          <w:szCs w:val="20"/>
        </w:rPr>
        <w:lastRenderedPageBreak/>
        <w:t>ec les sciences, notamment la physique et la chimie. La diversité des</w:t>
      </w:r>
      <w:r w:rsidRPr="00E6451E">
        <w:rPr>
          <w:rFonts w:cs="Calibri"/>
          <w:sz w:val="20"/>
          <w:szCs w:val="20"/>
        </w:rPr>
        <w:lastRenderedPageBreak/>
        <w:t xml:space="preserve">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quatre thèmes ont vocation à être traités tout au long du cycle 4. Ils sont interdépendants et font l’objet d’approches croisées, complémentaires et fréquentes, reprenant </w:t>
      </w:r>
      <w:r w:rsidRPr="00E6451E">
        <w:rPr>
          <w:rFonts w:cs="Calibri"/>
          <w:sz w:val="20"/>
          <w:szCs w:val="20"/>
        </w:rPr>
        <w:lastRenderedPageBreak/>
        <w:t>e</w:t>
      </w:r>
      <w:r w:rsidRPr="00E6451E">
        <w:rPr>
          <w:rFonts w:cs="Calibri"/>
          <w:sz w:val="20"/>
          <w:szCs w:val="20"/>
        </w:rPr>
        <w:lastRenderedPageBreak/>
        <w:t>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1936"/>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B6DDE8"/>
          </w:tcPr>
          <w:p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w:t>
            </w:r>
            <w:r w:rsidRPr="00E6451E">
              <w:rPr>
                <w:rFonts w:cs="Calibri"/>
                <w:szCs w:val="20"/>
              </w:rPr>
              <w:lastRenderedPageBreak/>
              <w:t>on 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5352"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5352" w:type="dxa"/>
            <w:tcBorders>
              <w:bottom w:val="dashed" w:sz="4" w:space="0" w:color="auto"/>
            </w:tcBorders>
            <w:vAlign w:val="center"/>
          </w:tcPr>
          <w:p w:rsidR="0069791B" w:rsidRPr="00E6451E" w:rsidRDefault="0069791B" w:rsidP="00280402">
            <w:pPr>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t>Propriétés acidobasiques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280402">
        <w:tc>
          <w:tcPr>
            <w:tcW w:w="5352" w:type="dxa"/>
          </w:tcPr>
          <w:p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5352" w:type="dxa"/>
          </w:tcPr>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w:t>
            </w:r>
            <w:r w:rsidRPr="00E6451E">
              <w:rPr>
                <w:rFonts w:cs="Calibri"/>
                <w:szCs w:val="20"/>
              </w:rPr>
              <w:lastRenderedPageBreak/>
              <w:t>tome, structure interne d’un noyau atomique (nucléo</w:t>
            </w:r>
            <w:r w:rsidRPr="00E6451E">
              <w:rPr>
                <w:rFonts w:cs="Calibri"/>
                <w:szCs w:val="20"/>
              </w:rPr>
              <w:lastRenderedPageBreak/>
              <w:t>n</w:t>
            </w:r>
            <w:r w:rsidRPr="00E6451E">
              <w:rPr>
                <w:rFonts w:cs="Calibri"/>
                <w:szCs w:val="20"/>
              </w:rPr>
              <w:lastRenderedPageBreak/>
              <w:t>s :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4268"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5352"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Caractériser un mouvement</w:t>
            </w:r>
          </w:p>
        </w:tc>
      </w:tr>
      <w:tr w:rsidR="0069791B" w:rsidRPr="00E6451E" w:rsidTr="00280402">
        <w:trPr>
          <w:trHeight w:val="1025"/>
        </w:trPr>
        <w:tc>
          <w:tcPr>
            <w:tcW w:w="5352"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5352"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92CDDC"/>
          </w:tcPr>
          <w:p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5352"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5352"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potentielle (dépendant de la position), thermique, électrique, chimique, nucléaire, 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bCs/>
                <w:i/>
                <w:sz w:val="20"/>
                <w:szCs w:val="20"/>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t>Réaliser des circuits électriques simples et exploiter les lois de l’électricité</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w:t>
            </w:r>
            <w:r w:rsidRPr="00E6451E">
              <w:rPr>
                <w:rFonts w:cs="Calibri"/>
                <w:bCs/>
                <w:sz w:val="20"/>
                <w:szCs w:val="20"/>
              </w:rPr>
              <w:lastRenderedPageBreak/>
              <w:t>ole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Mettre en relation les lois de l’électricité et les rè</w:t>
            </w:r>
            <w:r w:rsidRPr="00E6451E">
              <w:rPr>
                <w:rFonts w:cs="Calibri"/>
                <w:bCs/>
                <w:sz w:val="20"/>
                <w:szCs w:val="20"/>
              </w:rPr>
              <w:lastRenderedPageBreak/>
              <w:t>g</w:t>
            </w:r>
            <w:r w:rsidRPr="00E6451E">
              <w:rPr>
                <w:rFonts w:cs="Calibri"/>
                <w:bCs/>
                <w:sz w:val="20"/>
                <w:szCs w:val="20"/>
              </w:rPr>
              <w:lastRenderedPageBreak/>
              <w:t xml:space="preserve">les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5719"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 xml:space="preserve">Qualité </w:t>
      </w:r>
      <w:r w:rsidRPr="00C60D37">
        <w:rPr>
          <w:rFonts w:cs="Calibri"/>
          <w:b/>
          <w:i/>
          <w:szCs w:val="20"/>
        </w:rPr>
        <w:lastRenderedPageBreak/>
        <w:t>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firstRow="1" w:lastRow="0" w:firstColumn="1" w:lastColumn="0" w:noHBand="0" w:noVBand="1"/>
      </w:tblPr>
      <w:tblGrid>
        <w:gridCol w:w="10204"/>
      </w:tblGrid>
      <w:tr w:rsidR="0069791B" w:rsidRPr="008B39D8" w:rsidTr="00280402">
        <w:tc>
          <w:tcPr>
            <w:tcW w:w="10204" w:type="dxa"/>
            <w:shd w:val="clear" w:color="auto" w:fill="DAEEF3"/>
          </w:tcPr>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0"/>
              <w:spacing w:after="0" w:line="240" w:lineRule="auto"/>
              <w:ind w:left="0"/>
              <w:jc w:val="both"/>
              <w:rPr>
                <w:rFonts w:cs="Calibri"/>
                <w:sz w:val="20"/>
                <w:szCs w:val="20"/>
              </w:rPr>
            </w:pPr>
          </w:p>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0"/>
              <w:spacing w:after="0" w:line="240" w:lineRule="auto"/>
              <w:ind w:left="0"/>
              <w:jc w:val="both"/>
              <w:rPr>
                <w:rFonts w:cs="Calibri"/>
                <w:sz w:val="20"/>
                <w:szCs w:val="20"/>
              </w:rPr>
            </w:pPr>
          </w:p>
          <w:p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w:t>
            </w:r>
            <w:r w:rsidRPr="0010372A">
              <w:rPr>
                <w:rFonts w:eastAsia="Times" w:cs="Calibri"/>
                <w:sz w:val="20"/>
                <w:szCs w:val="20"/>
              </w:rPr>
              <w:lastRenderedPageBreak/>
              <w:t xml:space="preserve">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le corps humain et la santé. Le programme de science</w:t>
            </w:r>
            <w:r w:rsidRPr="0010372A">
              <w:rPr>
                <w:rFonts w:eastAsia="Times" w:cs="Calibri"/>
                <w:sz w:val="20"/>
                <w:szCs w:val="20"/>
              </w:rPr>
              <w:lastRenderedPageBreak/>
              <w:t>s</w:t>
            </w:r>
            <w:r w:rsidRPr="0010372A">
              <w:rPr>
                <w:rFonts w:eastAsia="Times" w:cs="Calibri"/>
                <w:sz w:val="20"/>
                <w:szCs w:val="20"/>
              </w:rPr>
              <w:lastRenderedPageBreak/>
              <w:t xml:space="preserve">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 w:line="240" w:lineRule="auto"/>
        <w:ind w:left="0"/>
        <w:jc w:val="both"/>
        <w:rPr>
          <w:rFonts w:cs="Calibri"/>
          <w:sz w:val="20"/>
          <w:szCs w:val="20"/>
        </w:rPr>
      </w:pPr>
    </w:p>
    <w:p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279"/>
        <w:gridCol w:w="1899"/>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w:t>
            </w:r>
            <w:r w:rsidRPr="00E6451E">
              <w:rPr>
                <w:rFonts w:cs="Calibri"/>
                <w:sz w:val="20"/>
                <w:szCs w:val="20"/>
              </w:rPr>
              <w:lastRenderedPageBreak/>
              <w:t>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5719" w:type="dxa"/>
            <w:shd w:val="clear" w:color="auto" w:fill="auto"/>
          </w:tcPr>
          <w:p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 w:line="240" w:lineRule="auto"/>
              <w:rPr>
                <w:rFonts w:cs="Calibri"/>
                <w:sz w:val="20"/>
                <w:szCs w:val="20"/>
              </w:rPr>
            </w:pP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utilisant notamment les biotechnologies, des solutions de prés</w:t>
            </w:r>
            <w:r w:rsidRPr="00E6451E">
              <w:rPr>
                <w:rFonts w:cs="Calibri"/>
                <w:sz w:val="20"/>
                <w:szCs w:val="20"/>
              </w:rPr>
              <w:lastRenderedPageBreak/>
              <w:t xml:space="preserve">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w:t>
            </w:r>
            <w:r w:rsidRPr="00B664A8">
              <w:rPr>
                <w:rFonts w:eastAsia="Times New Roman" w:cs="Calibri"/>
                <w:sz w:val="20"/>
                <w:szCs w:val="20"/>
                <w:lang w:eastAsia="fr-FR"/>
              </w:rPr>
              <w:lastRenderedPageBreak/>
              <w:t>, raréfaction des ressources en eau dans certaines régions, combustion des ressources fossi</w:t>
            </w:r>
            <w:r w:rsidRPr="00B664A8">
              <w:rPr>
                <w:rFonts w:eastAsia="Times New Roman" w:cs="Calibri"/>
                <w:sz w:val="20"/>
                <w:szCs w:val="20"/>
                <w:lang w:eastAsia="fr-FR"/>
              </w:rPr>
              <w:lastRenderedPageBreak/>
              <w:t>les et réchauffement climatique, érosion des sols, déforestation, disparitions d’espèces animales et végétales, etc.).</w:t>
            </w:r>
          </w:p>
          <w:p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w:t>
            </w:r>
            <w:r w:rsidRPr="00B664A8">
              <w:rPr>
                <w:rFonts w:eastAsia="Times New Roman" w:cs="Calibri"/>
                <w:sz w:val="20"/>
                <w:szCs w:val="20"/>
                <w:lang w:eastAsia="fr-FR"/>
              </w:rPr>
              <w:lastRenderedPageBreak/>
              <w:t>es équilibres naturels (énergies renouvelables, traitement des eaux, transports non polluants, gestion des déchets, aménagements ur</w:t>
            </w:r>
            <w:r w:rsidRPr="00B664A8">
              <w:rPr>
                <w:rFonts w:eastAsia="Times New Roman" w:cs="Calibri"/>
                <w:sz w:val="20"/>
                <w:szCs w:val="20"/>
                <w:lang w:eastAsia="fr-FR"/>
              </w:rPr>
              <w:lastRenderedPageBreak/>
              <w:t>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5719" w:type="dxa"/>
            <w:shd w:val="clear" w:color="auto" w:fill="auto"/>
          </w:tcPr>
          <w:p w:rsidR="0069791B" w:rsidRPr="00E6451E" w:rsidRDefault="0069791B" w:rsidP="00280402">
            <w:pPr>
              <w:spacing w:after="0" w:line="240" w:lineRule="auto"/>
              <w:rPr>
                <w:rFonts w:cs="Calibri"/>
                <w:sz w:val="20"/>
                <w:szCs w:val="20"/>
              </w:rPr>
            </w:pPr>
            <w:r w:rsidRPr="00E6451E">
              <w:rPr>
                <w:rFonts w:cs="Calibri"/>
                <w:sz w:val="20"/>
                <w:szCs w:val="20"/>
              </w:rPr>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w:t>
            </w:r>
            <w:r w:rsidRPr="00E6451E">
              <w:rPr>
                <w:rFonts w:cs="Calibri"/>
                <w:szCs w:val="20"/>
              </w:rPr>
              <w:lastRenderedPageBreak/>
              <w:t xml:space="preserve"> météo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w:t>
            </w:r>
            <w:r w:rsidRPr="00E6451E">
              <w:rPr>
                <w:rFonts w:cs="Calibri"/>
                <w:szCs w:val="20"/>
              </w:rPr>
              <w:lastRenderedPageBreak/>
              <w:t>s activités humaines sur le climat).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w:t>
            </w:r>
            <w:r w:rsidRPr="00E6451E">
              <w:rPr>
                <w:rFonts w:cs="Calibri"/>
                <w:sz w:val="20"/>
                <w:szCs w:val="20"/>
              </w:rPr>
              <w:lastRenderedPageBreak/>
              <w:t>, inondations) ainsi que ceux liés aux activités humaines (pollution de l’ai</w:t>
            </w:r>
            <w:r w:rsidRPr="00E6451E">
              <w:rPr>
                <w:rFonts w:cs="Calibri"/>
                <w:sz w:val="20"/>
                <w:szCs w:val="20"/>
              </w:rPr>
              <w:lastRenderedPageBreak/>
              <w:t>r et des mers, réchauffement climatique…) aux mesures de prévention (quand c’est possible), de protection, d’adaptation, ou d’atténuation.</w:t>
            </w:r>
          </w:p>
          <w:p w:rsidR="0069791B" w:rsidRPr="00E6451E" w:rsidRDefault="0069791B" w:rsidP="00280402">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 xml:space="preserve">Notions d’aléas, de </w:t>
            </w:r>
            <w:r w:rsidRPr="00E6451E">
              <w:rPr>
                <w:rFonts w:cs="Calibri"/>
                <w:szCs w:val="20"/>
              </w:rPr>
              <w:lastRenderedPageBreak/>
              <w:t>vulnérabilité et de risque en lien avec les phénomènes naturels ; prévisions</w:t>
            </w:r>
            <w:r>
              <w:rPr>
                <w:rFonts w:cs="Calibri"/>
                <w:szCs w:val="20"/>
              </w:rPr>
              <w: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Cs w:val="20"/>
              </w:rPr>
            </w:pP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r w:rsidR="0069791B" w:rsidRPr="00E6451E" w:rsidTr="00280402">
        <w:trPr>
          <w:trHeight w:val="5362"/>
        </w:trPr>
        <w:tc>
          <w:tcPr>
            <w:tcW w:w="5719"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w:t>
            </w:r>
            <w:r w:rsidRPr="00E6451E">
              <w:rPr>
                <w:rFonts w:cs="Calibri"/>
                <w:szCs w:val="20"/>
              </w:rPr>
              <w:lastRenderedPageBreak/>
              <w:t>e</w:t>
            </w:r>
            <w:r w:rsidRPr="00E6451E">
              <w:rPr>
                <w:rFonts w:cs="Calibri"/>
                <w:szCs w:val="20"/>
              </w:rPr>
              <w:lastRenderedPageBreak/>
              <w:t>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w:t>
            </w:r>
            <w:r w:rsidRPr="00E6451E">
              <w:rPr>
                <w:rFonts w:cs="Calibri"/>
                <w:szCs w:val="20"/>
              </w:rPr>
              <w:lastRenderedPageBreak/>
              <w:t>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 xml:space="preserve">Proposer des argumentations sur les impacts générés par le rythme, la nature (bénéfices/nuisances), </w:t>
            </w:r>
            <w:r w:rsidRPr="000B400A">
              <w:rPr>
                <w:rFonts w:cs="Calibri"/>
                <w:szCs w:val="20"/>
              </w:rPr>
              <w:lastRenderedPageBreak/>
              <w:t>l’importance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Quelques exemples d’interactions entre les activités humaines et l’environnement, dont l’interac</w:t>
            </w:r>
            <w:r w:rsidRPr="00E6451E">
              <w:rPr>
                <w:rFonts w:cs="Calibri"/>
                <w:szCs w:val="20"/>
              </w:rPr>
              <w:lastRenderedPageBreak/>
              <w:t xml:space="preserve">tion </w:t>
            </w:r>
            <w:r>
              <w:rPr>
                <w:rFonts w:cs="Calibri"/>
                <w:szCs w:val="20"/>
              </w:rPr>
              <w:t xml:space="preserve">être humain </w:t>
            </w:r>
            <w:r w:rsidRPr="00E6451E">
              <w:rPr>
                <w:rFonts w:cs="Calibri"/>
                <w:szCs w:val="20"/>
              </w:rPr>
              <w:t>- biodiversité (de l’échelle d’un écosystème local et de sa dynamique jusqu’à celle de la planète</w:t>
            </w:r>
            <w:r>
              <w:rPr>
                <w:rFonts w:cs="Calibri"/>
                <w:szCs w:val="20"/>
              </w:rPr>
              <w:t>).</w:t>
            </w: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69791B" w:rsidRPr="00E6451E" w:rsidTr="00280402">
        <w:tc>
          <w:tcPr>
            <w:tcW w:w="10280" w:type="dxa"/>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w:t>
            </w:r>
            <w:r>
              <w:rPr>
                <w:rFonts w:cs="Calibri"/>
                <w:b/>
                <w:sz w:val="20"/>
                <w:szCs w:val="20"/>
              </w:rPr>
              <w:lastRenderedPageBreak/>
              <w:t>endus de fin de cycle</w:t>
            </w:r>
          </w:p>
        </w:tc>
      </w:tr>
      <w:tr w:rsidR="0069791B" w:rsidRPr="00E6451E" w:rsidTr="00280402">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w:t>
            </w:r>
            <w:r w:rsidRPr="00395CE8">
              <w:rPr>
                <w:rFonts w:cs="Calibri"/>
                <w:szCs w:val="20"/>
              </w:rPr>
              <w:lastRenderedPageBreak/>
              <w:t>tablir des relations de causalité pour expliquer :</w:t>
            </w:r>
          </w:p>
          <w:p w:rsidR="0069791B" w:rsidRPr="00395CE8" w:rsidRDefault="0069791B" w:rsidP="00280402">
            <w:pPr>
              <w:ind w:left="708"/>
              <w:jc w:val="both"/>
              <w:rPr>
                <w:rFonts w:cs="Calibri"/>
                <w:szCs w:val="20"/>
              </w:rPr>
            </w:pPr>
            <w:r w:rsidRPr="00395CE8">
              <w:rPr>
                <w:rFonts w:cs="Calibri"/>
                <w:szCs w:val="20"/>
              </w:rPr>
              <w:t xml:space="preserve">- la nutrition des organismes, </w:t>
            </w:r>
          </w:p>
          <w:p w:rsidR="0069791B" w:rsidRPr="00395CE8" w:rsidRDefault="0069791B" w:rsidP="00280402">
            <w:pPr>
              <w:ind w:left="708"/>
              <w:jc w:val="both"/>
              <w:rPr>
                <w:rFonts w:cs="Calibri"/>
                <w:szCs w:val="20"/>
              </w:rPr>
            </w:pPr>
            <w:r w:rsidRPr="00395CE8">
              <w:rPr>
                <w:rFonts w:cs="Calibri"/>
                <w:szCs w:val="20"/>
              </w:rPr>
              <w:t xml:space="preserve">- la dynamique des populations, </w:t>
            </w:r>
          </w:p>
          <w:p w:rsidR="0069791B" w:rsidRPr="00395CE8" w:rsidRDefault="0069791B" w:rsidP="00280402">
            <w:pPr>
              <w:ind w:left="708"/>
              <w:jc w:val="both"/>
              <w:rPr>
                <w:rFonts w:cs="Calibri"/>
                <w:szCs w:val="20"/>
              </w:rPr>
            </w:pPr>
            <w:r w:rsidRPr="00395CE8">
              <w:rPr>
                <w:rFonts w:cs="Calibri"/>
                <w:szCs w:val="20"/>
              </w:rPr>
              <w:t xml:space="preserve">- la classification du vivant, </w:t>
            </w:r>
          </w:p>
          <w:p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rsidR="0069791B" w:rsidRPr="00E6451E" w:rsidRDefault="0069791B" w:rsidP="00280402">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4558"/>
        <w:gridCol w:w="91"/>
      </w:tblGrid>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w:t>
            </w:r>
            <w:r w:rsidRPr="00E6451E">
              <w:rPr>
                <w:rFonts w:cs="Calibri"/>
                <w:b/>
                <w:sz w:val="20"/>
                <w:szCs w:val="20"/>
              </w:rPr>
              <w:lastRenderedPageBreak/>
              <w:t>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w:t>
            </w:r>
            <w:r w:rsidRPr="00E6451E">
              <w:rPr>
                <w:rFonts w:cs="Calibri"/>
                <w:sz w:val="20"/>
                <w:szCs w:val="20"/>
              </w:rPr>
              <w:lastRenderedPageBreak/>
              <w:t>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 w:line="240" w:lineRule="auto"/>
              <w:jc w:val="both"/>
              <w:rPr>
                <w:rFonts w:cs="Calibri"/>
                <w:b/>
                <w:sz w:val="20"/>
                <w:szCs w:val="20"/>
              </w:rPr>
            </w:pPr>
            <w:r w:rsidRPr="00E6451E">
              <w:rPr>
                <w:rFonts w:cs="Calibri"/>
                <w:sz w:val="20"/>
                <w:szCs w:val="20"/>
              </w:rPr>
              <w:t>Relier les besoins des cellules d’une plante chlorophyllienn</w:t>
            </w:r>
            <w:r w:rsidRPr="00E6451E">
              <w:rPr>
                <w:rFonts w:cs="Calibri"/>
                <w:sz w:val="20"/>
                <w:szCs w:val="20"/>
              </w:rPr>
              <w:lastRenderedPageBreak/>
              <w:t>e</w:t>
            </w:r>
            <w:r w:rsidRPr="00E6451E">
              <w:rPr>
                <w:rFonts w:cs="Calibri"/>
                <w:sz w:val="20"/>
                <w:szCs w:val="20"/>
              </w:rPr>
              <w:lastRenderedPageBreak/>
              <w:t>, les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On privilégie des observations de terrain pour recueillir des données, les organiser et les traiter à un niveau simple, ainsi que la mise en œuvre de démarches expérimentales.</w:t>
            </w:r>
          </w:p>
          <w:p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w:t>
            </w:r>
            <w:r w:rsidRPr="00E6451E">
              <w:rPr>
                <w:rFonts w:cs="Calibri"/>
                <w:szCs w:val="20"/>
              </w:rPr>
              <w:lastRenderedPageBreak/>
              <w:t>es 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899"/>
          <w:jc w:val="center"/>
        </w:trPr>
        <w:tc>
          <w:tcPr>
            <w:tcW w:w="5719" w:type="dxa"/>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r w:rsidR="0069791B" w:rsidRPr="00E6451E" w:rsidTr="00280402">
        <w:tblPrEx>
          <w:jc w:val="center"/>
        </w:tblPrEx>
        <w:trPr>
          <w:gridAfter w:val="1"/>
          <w:wAfter w:w="89" w:type="dxa"/>
          <w:trHeight w:val="557"/>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537"/>
        <w:gridCol w:w="111"/>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2E7138" w:rsidP="00280402">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 w:line="240" w:lineRule="auto"/>
              <w:rPr>
                <w:rFonts w:cs="Calibri"/>
                <w:sz w:val="20"/>
                <w:szCs w:val="20"/>
              </w:rPr>
            </w:pPr>
            <w:r w:rsidRPr="00E6451E">
              <w:rPr>
                <w:rFonts w:cs="Calibri"/>
                <w:sz w:val="20"/>
                <w:szCs w:val="20"/>
              </w:rPr>
              <w:t>L’élève construit ses compétences par des collaborations avec des partenaires dans le domaine de la santé (médecins, sportifs ; …).</w:t>
            </w:r>
          </w:p>
          <w:p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1715"/>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w:t>
      </w:r>
      <w:r w:rsidRPr="00E6451E">
        <w:rPr>
          <w:rFonts w:cs="Calibri"/>
          <w:sz w:val="20"/>
          <w:szCs w:val="20"/>
        </w:rPr>
        <w:lastRenderedPageBreak/>
        <w:t>une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w:t>
      </w:r>
      <w:r w:rsidRPr="00DF3D31">
        <w:rPr>
          <w:rFonts w:cs="Calibri"/>
          <w:sz w:val="20"/>
          <w:szCs w:val="20"/>
        </w:rPr>
        <w:lastRenderedPageBreak/>
        <w:t>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69791B" w:rsidRPr="000048EE" w:rsidTr="00280402">
        <w:tc>
          <w:tcPr>
            <w:tcW w:w="10204" w:type="dxa"/>
            <w:tcBorders>
              <w:top w:val="nil"/>
              <w:left w:val="nil"/>
              <w:bottom w:val="nil"/>
              <w:right w:val="nil"/>
            </w:tcBorders>
            <w:shd w:val="clear" w:color="auto" w:fill="DAEEF3"/>
          </w:tcPr>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 w:line="240" w:lineRule="auto"/>
              <w:contextualSpacing/>
              <w:jc w:val="both"/>
              <w:rPr>
                <w:rFonts w:eastAsia="Times" w:cs="Calibri"/>
                <w:sz w:val="20"/>
                <w:szCs w:val="20"/>
                <w:lang w:eastAsia="fr-FR"/>
              </w:rPr>
            </w:pPr>
          </w:p>
          <w:p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w:t>
            </w:r>
            <w:r w:rsidRPr="000048EE">
              <w:rPr>
                <w:rFonts w:cs="Calibri"/>
                <w:szCs w:val="20"/>
              </w:rPr>
              <w:lastRenderedPageBreak/>
              <w:t>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 w:line="240" w:lineRule="auto"/>
              <w:jc w:val="both"/>
              <w:outlineLvl w:val="0"/>
              <w:rPr>
                <w:rFonts w:eastAsia="Times" w:cs="Calibri"/>
                <w:sz w:val="20"/>
                <w:szCs w:val="20"/>
                <w:lang w:eastAsia="fr-FR"/>
              </w:rPr>
            </w:pPr>
          </w:p>
          <w:p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w:t>
            </w:r>
            <w:r w:rsidRPr="000048EE">
              <w:rPr>
                <w:rFonts w:eastAsia="Times" w:cs="Calibri"/>
                <w:sz w:val="20"/>
                <w:szCs w:val="20"/>
              </w:rPr>
              <w:lastRenderedPageBreak/>
              <w:t>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5"/>
        <w:gridCol w:w="1560"/>
      </w:tblGrid>
      <w:tr w:rsidR="0069791B" w:rsidRPr="00395CE8" w:rsidTr="00280402">
        <w:tc>
          <w:tcPr>
            <w:tcW w:w="7995" w:type="dxa"/>
            <w:shd w:val="clear" w:color="auto" w:fill="DAEEF3"/>
            <w:tcMar>
              <w:top w:w="57" w:type="dxa"/>
              <w:left w:w="57" w:type="dxa"/>
              <w:bottom w:w="57" w:type="dxa"/>
              <w:right w:w="57" w:type="dxa"/>
            </w:tcMar>
          </w:tcPr>
          <w:p w:rsidR="0069791B" w:rsidRPr="00395CE8" w:rsidRDefault="0069791B" w:rsidP="00280402">
            <w:pPr>
              <w:rPr>
                <w:rFonts w:cs="Calibri"/>
                <w:b/>
                <w:sz w:val="24"/>
                <w:szCs w:val="24"/>
              </w:rPr>
            </w:pPr>
            <w:r w:rsidRPr="00395CE8">
              <w:rPr>
                <w:rFonts w:cs="Calibri"/>
                <w:b/>
                <w:sz w:val="24"/>
                <w:szCs w:val="24"/>
              </w:rPr>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w:t>
            </w:r>
            <w:r w:rsidRPr="00875293">
              <w:rPr>
                <w:rFonts w:cs="Calibri"/>
                <w:szCs w:val="20"/>
              </w:rPr>
              <w:lastRenderedPageBreak/>
              <w:t>jets.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val="00A0" w:firstRow="1" w:lastRow="0" w:firstColumn="1" w:lastColumn="0" w:noHBand="0" w:noVBand="0"/>
        </w:tblPrEx>
        <w:tc>
          <w:tcPr>
            <w:tcW w:w="10280"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w:t>
            </w:r>
            <w:r w:rsidRPr="00E6451E">
              <w:rPr>
                <w:rFonts w:cs="Calibri"/>
                <w:sz w:val="20"/>
                <w:szCs w:val="20"/>
              </w:rPr>
              <w:lastRenderedPageBreak/>
              <w:t>olution.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val="00A0" w:firstRow="1" w:lastRow="0" w:firstColumn="1" w:lastColumn="0" w:noHBand="0" w:noVBand="0"/>
        </w:tblPrEx>
        <w:tc>
          <w:tcPr>
            <w:tcW w:w="6692" w:type="dxa"/>
            <w:gridSpan w:val="2"/>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val="00A0" w:firstRow="1" w:lastRow="0" w:firstColumn="1" w:lastColumn="0" w:noHBand="0" w:noVBand="0"/>
        </w:tblPrEx>
        <w:tc>
          <w:tcPr>
            <w:tcW w:w="10280" w:type="dxa"/>
            <w:gridSpan w:val="3"/>
          </w:tcPr>
          <w:p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val="00A0" w:firstRow="1" w:lastRow="0" w:firstColumn="1" w:lastColumn="0" w:noHBand="0" w:noVBand="0"/>
        </w:tblPrEx>
        <w:trPr>
          <w:trHeight w:val="3795"/>
        </w:trPr>
        <w:tc>
          <w:tcPr>
            <w:tcW w:w="6692" w:type="dxa"/>
            <w:gridSpan w:val="2"/>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 w:line="240" w:lineRule="auto"/>
              <w:rPr>
                <w:rFonts w:cs="Calibri"/>
                <w:color w:val="00000A"/>
                <w:sz w:val="20"/>
                <w:szCs w:val="20"/>
              </w:rPr>
            </w:pP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Relier les évolutions technologiques aux inventions et innovations qui marquent des ruptures dan</w:t>
            </w:r>
            <w:r w:rsidRPr="00E6451E">
              <w:rPr>
                <w:rFonts w:cs="Calibri"/>
                <w:color w:val="00000A"/>
                <w:sz w:val="20"/>
                <w:szCs w:val="20"/>
              </w:rPr>
              <w:lastRenderedPageBreak/>
              <w:t xml:space="preserve">s les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t>Exprimer sa pensée à l’aide d’outils de description adaptés</w:t>
            </w:r>
          </w:p>
        </w:tc>
      </w:tr>
      <w:tr w:rsidR="0069791B" w:rsidRPr="00E6451E" w:rsidTr="00280402">
        <w:tblPrEx>
          <w:tblLook w:val="00A0" w:firstRow="1" w:lastRow="0" w:firstColumn="1" w:lastColumn="0" w:noHBand="0" w:noVBand="0"/>
        </w:tblPrEx>
        <w:trPr>
          <w:trHeight w:val="1691"/>
        </w:trPr>
        <w:tc>
          <w:tcPr>
            <w:tcW w:w="6692" w:type="dxa"/>
            <w:gridSpan w:val="2"/>
          </w:tcPr>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 w:line="240" w:lineRule="auto"/>
              <w:rPr>
                <w:rFonts w:cs="Calibri"/>
                <w:sz w:val="20"/>
                <w:szCs w:val="20"/>
              </w:rPr>
            </w:pPr>
          </w:p>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val="00A0" w:firstRow="1" w:lastRow="0" w:firstColumn="1" w:lastColumn="0" w:noHBand="0" w:noVBand="0"/>
        </w:tblPrEx>
        <w:trPr>
          <w:trHeight w:val="1691"/>
        </w:trPr>
        <w:tc>
          <w:tcPr>
            <w:tcW w:w="10280" w:type="dxa"/>
            <w:gridSpan w:val="3"/>
          </w:tcPr>
          <w:p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4010"/>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634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rPr>
          <w:trHeight w:val="333"/>
        </w:trPr>
        <w:tc>
          <w:tcPr>
            <w:tcW w:w="10280"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val="00A0" w:firstRow="1" w:lastRow="0" w:firstColumn="1" w:lastColumn="0" w:noHBand="0" w:noVBand="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w:t>
            </w:r>
            <w:r w:rsidRPr="00E6451E">
              <w:rPr>
                <w:rFonts w:cs="Calibri"/>
                <w:sz w:val="20"/>
                <w:szCs w:val="20"/>
              </w:rPr>
              <w:lastRenderedPageBreak/>
              <w:t xml:space="preserve">es matériaux utilisés sont justifiés et les </w:t>
            </w:r>
            <w:r w:rsidRPr="00E6451E">
              <w:rPr>
                <w:rFonts w:cs="Calibri"/>
                <w:color w:val="00000A"/>
                <w:sz w:val="20"/>
                <w:szCs w:val="20"/>
              </w:rPr>
              <w:t>flux d’é</w:t>
            </w:r>
            <w:r w:rsidRPr="00E6451E">
              <w:rPr>
                <w:rFonts w:cs="Calibri"/>
                <w:color w:val="00000A"/>
                <w:sz w:val="20"/>
                <w:szCs w:val="20"/>
              </w:rPr>
              <w:lastRenderedPageBreak/>
              <w:t>n</w:t>
            </w:r>
            <w:r w:rsidRPr="00E6451E">
              <w:rPr>
                <w:rFonts w:cs="Calibri"/>
                <w:color w:val="00000A"/>
                <w:sz w:val="20"/>
                <w:szCs w:val="20"/>
              </w:rPr>
              <w:lastRenderedPageBreak/>
              <w:t>ergie et d’information sont repérés et analysés.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 w:line="240" w:lineRule="auto"/>
              <w:jc w:val="both"/>
              <w:rPr>
                <w:rFonts w:cs="Calibri"/>
                <w:b/>
                <w:sz w:val="20"/>
                <w:szCs w:val="20"/>
              </w:rPr>
            </w:pPr>
          </w:p>
          <w:p w:rsidR="0069791B" w:rsidRPr="00E6451E" w:rsidRDefault="0069791B" w:rsidP="00280402">
            <w:pPr>
              <w:spacing w:after="0" w:line="240" w:lineRule="auto"/>
              <w:jc w:val="both"/>
              <w:rPr>
                <w:rFonts w:cs="Calibri"/>
                <w:sz w:val="20"/>
                <w:szCs w:val="20"/>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w:t>
            </w:r>
            <w:r w:rsidRPr="00E6451E">
              <w:rPr>
                <w:rFonts w:cs="Calibri"/>
                <w:szCs w:val="20"/>
              </w:rPr>
              <w:lastRenderedPageBreak/>
              <w:t>e mesure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194"/>
        </w:trPr>
        <w:tc>
          <w:tcPr>
            <w:tcW w:w="6345"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val="00A0" w:firstRow="1" w:lastRow="0" w:firstColumn="1" w:lastColumn="0" w:noHBand="0" w:noVBand="0"/>
        </w:tblPrEx>
        <w:tc>
          <w:tcPr>
            <w:tcW w:w="6345" w:type="dxa"/>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280402">
        <w:tblPrEx>
          <w:tblLook w:val="00A0" w:firstRow="1" w:lastRow="0" w:firstColumn="1" w:lastColumn="0" w:noHBand="0" w:noVBand="0"/>
        </w:tblPrEx>
        <w:tc>
          <w:tcPr>
            <w:tcW w:w="10280" w:type="dxa"/>
            <w:gridSpan w:val="2"/>
          </w:tcPr>
          <w:p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w:t>
      </w:r>
      <w:r w:rsidRPr="00DC5E8F">
        <w:rPr>
          <w:rFonts w:cs="Calibri"/>
          <w:sz w:val="20"/>
          <w:szCs w:val="20"/>
        </w:rPr>
        <w:lastRenderedPageBreak/>
        <w:t>er la lecture. La conception, la lecture et la modification de la programmation sont réalisé</w:t>
      </w:r>
      <w:r>
        <w:rPr>
          <w:rFonts w:cs="Calibri"/>
          <w:sz w:val="20"/>
          <w:szCs w:val="20"/>
        </w:rPr>
        <w:t>e</w:t>
      </w:r>
      <w:r w:rsidRPr="00DC5E8F">
        <w:rPr>
          <w:rFonts w:cs="Calibri"/>
          <w:sz w:val="20"/>
          <w:szCs w:val="20"/>
        </w:rPr>
        <w:t xml:space="preserve">s 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4877"/>
      </w:tblGrid>
      <w:tr w:rsidR="0069791B" w:rsidRPr="00E6451E" w:rsidTr="00280402">
        <w:tc>
          <w:tcPr>
            <w:tcW w:w="10280" w:type="dxa"/>
            <w:gridSpan w:val="2"/>
            <w:shd w:val="clear" w:color="auto" w:fill="92CDDC"/>
          </w:tcPr>
          <w:p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280402">
        <w:tc>
          <w:tcPr>
            <w:tcW w:w="10280" w:type="dxa"/>
            <w:gridSpan w:val="2"/>
          </w:tcPr>
          <w:p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5495" w:type="dxa"/>
            <w:shd w:val="clear" w:color="auto" w:fill="92CDDC"/>
            <w:vAlign w:val="center"/>
          </w:tcPr>
          <w:p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10280"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10280"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5495" w:type="dxa"/>
            <w:tcBorders>
              <w:right w:val="single" w:sz="4" w:space="0" w:color="auto"/>
            </w:tcBorders>
          </w:tcPr>
          <w:p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4785"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10280"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t>Repères de progressivité :</w:t>
            </w:r>
          </w:p>
          <w:p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w:t>
      </w:r>
      <w:r w:rsidRPr="00712B64">
        <w:rPr>
          <w:rFonts w:cs="Calibri"/>
          <w:color w:val="00000A"/>
          <w:sz w:val="20"/>
          <w:szCs w:val="20"/>
        </w:rPr>
        <w:lastRenderedPageBreak/>
        <w:t xml:space="preserve">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w:t>
      </w:r>
      <w:r w:rsidRPr="005114AF">
        <w:rPr>
          <w:rFonts w:cs="Calibri"/>
          <w:sz w:val="20"/>
          <w:szCs w:val="20"/>
        </w:rPr>
        <w:lastRenderedPageBreak/>
        <w:t>stration</w:t>
      </w:r>
      <w:r w:rsidRPr="00E6451E">
        <w:rPr>
          <w:rFonts w:cs="Calibri"/>
          <w:b/>
          <w:sz w:val="20"/>
          <w:szCs w:val="20"/>
        </w:rPr>
        <w:t xml:space="preserve"> </w:t>
      </w:r>
      <w:r w:rsidRPr="00E6451E">
        <w:rPr>
          <w:rFonts w:cs="Calibri"/>
          <w:sz w:val="20"/>
          <w:szCs w:val="20"/>
        </w:rPr>
        <w:t>sont des objectifs essentiels du cycle 4. Le raisonnement, au cœur de l'activité</w:t>
      </w:r>
      <w:r w:rsidRPr="00E6451E">
        <w:rPr>
          <w:rFonts w:cs="Calibri"/>
          <w:sz w:val="20"/>
          <w:szCs w:val="20"/>
        </w:rPr>
        <w:lastRenderedPageBreak/>
        <w:t xml:space="preserve">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w:t>
      </w:r>
      <w:r w:rsidRPr="00E6451E">
        <w:rPr>
          <w:rFonts w:cs="Calibri"/>
          <w:sz w:val="20"/>
          <w:szCs w:val="20"/>
        </w:rPr>
        <w:lastRenderedPageBreak/>
        <w:t xml:space="preserve">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w:t>
      </w:r>
      <w:r w:rsidRPr="00E6451E">
        <w:rPr>
          <w:rFonts w:cs="Calibri"/>
          <w:sz w:val="20"/>
          <w:szCs w:val="20"/>
        </w:rPr>
        <w:lastRenderedPageBreak/>
        <w:t>r</w:t>
      </w:r>
      <w:r w:rsidRPr="00E6451E">
        <w:rPr>
          <w:rFonts w:cs="Calibri"/>
          <w:sz w:val="20"/>
          <w:szCs w:val="20"/>
        </w:rPr>
        <w:lastRenderedPageBreak/>
        <w:t>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w:t>
            </w:r>
            <w:r w:rsidRPr="00E6451E">
              <w:rPr>
                <w:rFonts w:cs="Calibri"/>
                <w:szCs w:val="20"/>
              </w:rPr>
              <w:lastRenderedPageBreak/>
              <w:t>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Calculer en utilisant le langage algéb</w:t>
            </w:r>
            <w:r w:rsidRPr="00E6451E">
              <w:rPr>
                <w:rFonts w:cs="Calibri"/>
                <w:szCs w:val="20"/>
              </w:rPr>
              <w:lastRenderedPageBreak/>
              <w:t xml:space="preserve">rique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3" w:name="OLE_LINK81"/>
      <w:bookmarkStart w:id="4"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3"/>
      <w:bookmarkEnd w:id="4"/>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5" w:name="OLE_LINK79"/>
            <w:bookmarkStart w:id="6" w:name="OLE_LINK80"/>
            <w:r w:rsidRPr="00E6451E">
              <w:rPr>
                <w:rFonts w:cs="Calibri"/>
                <w:color w:val="000000"/>
                <w:szCs w:val="20"/>
              </w:rPr>
              <w:t>Utiliser les nombres pour comparer, calculer et résoudre des problèmes</w:t>
            </w:r>
          </w:p>
          <w:bookmarkEnd w:id="5"/>
          <w:bookmarkEnd w:id="6"/>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7" w:name="OLE_LINK11"/>
            <w:bookmarkStart w:id="8"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7"/>
      <w:bookmarkEnd w:id="8"/>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Calculer avec des nombres relatifs, des fractions ou des nombres décimaux (somme, différen</w:t>
            </w:r>
            <w:r w:rsidRPr="00E6451E">
              <w:rPr>
                <w:rFonts w:cs="Calibri"/>
                <w:color w:val="000000"/>
                <w:sz w:val="20"/>
                <w:szCs w:val="20"/>
              </w:rPr>
              <w:lastRenderedPageBreak/>
              <w:t xml:space="preserve">ce,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9" w:name="OLE_LINK89"/>
            <w:bookmarkStart w:id="10" w:name="OLE_LINK90"/>
            <w:r w:rsidRPr="00E6451E">
              <w:rPr>
                <w:rFonts w:cs="Calibri"/>
                <w:color w:val="000000"/>
                <w:szCs w:val="20"/>
              </w:rPr>
              <w:t>Définition des puissances d’un nombre</w:t>
            </w:r>
            <w:bookmarkEnd w:id="9"/>
            <w:bookmarkEnd w:id="10"/>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La notion de racine carrée est introduite en lien avec le théorème de Pythagore ou l’agrandissement des surfaces. Les élèves connaissent quelques carrés parfaits, l</w:t>
            </w:r>
            <w:r w:rsidRPr="00E6451E">
              <w:rPr>
                <w:rFonts w:cs="Calibri"/>
                <w:sz w:val="20"/>
                <w:szCs w:val="20"/>
              </w:rPr>
              <w:lastRenderedPageBreak/>
              <w:t xml:space="preserve">es 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w:t>
            </w:r>
            <w:r w:rsidRPr="00E6451E">
              <w:rPr>
                <w:rFonts w:cs="Calibri"/>
                <w:sz w:val="20"/>
                <w:szCs w:val="20"/>
              </w:rPr>
              <w:lastRenderedPageBreak/>
              <w:t>oppement et la réduction d’expressions alg</w:t>
            </w:r>
            <w:r w:rsidRPr="00E6451E">
              <w:rPr>
                <w:rFonts w:cs="Calibri"/>
                <w:sz w:val="20"/>
                <w:szCs w:val="20"/>
              </w:rPr>
              <w:lastRenderedPageBreak/>
              <w:t>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w:t>
            </w:r>
            <w:r w:rsidRPr="00E6451E">
              <w:rPr>
                <w:rFonts w:cs="Calibri"/>
                <w:sz w:val="20"/>
                <w:szCs w:val="20"/>
              </w:rPr>
              <w:lastRenderedPageBreak/>
              <w:t xml:space="preserve"> </w:t>
            </w:r>
            <w:r w:rsidRPr="00E6451E">
              <w:rPr>
                <w:rFonts w:cs="Calibri"/>
                <w:sz w:val="20"/>
                <w:szCs w:val="20"/>
              </w:rPr>
              <w:lastRenderedPageBreak/>
              <w:t xml:space="preserve">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11" w:name="OLE_LINK101"/>
            <w:bookmarkStart w:id="12" w:name="OLE_LINK102"/>
            <w:r w:rsidRPr="00E6451E">
              <w:rPr>
                <w:rFonts w:cs="Calibri"/>
                <w:color w:val="000000"/>
                <w:szCs w:val="20"/>
              </w:rPr>
              <w:t>médiane</w:t>
            </w:r>
            <w:bookmarkEnd w:id="11"/>
            <w:bookmarkEnd w:id="12"/>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w:t>
            </w:r>
            <w:r w:rsidRPr="00E6451E">
              <w:rPr>
                <w:rFonts w:cs="Calibri"/>
                <w:color w:val="000000"/>
                <w:sz w:val="20"/>
                <w:szCs w:val="20"/>
              </w:rPr>
              <w:lastRenderedPageBreak/>
              <w:t>nnement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13" w:name="OLE_LINK105"/>
            <w:bookmarkStart w:id="14"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13"/>
            <w:bookmarkEnd w:id="14"/>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15" w:name="OLE_LINK107"/>
            <w:bookmarkStart w:id="16"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15"/>
            <w:bookmarkEnd w:id="16"/>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17" w:name="OLE_LINK147"/>
            <w:bookmarkStart w:id="18"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17"/>
          <w:bookmarkEnd w:id="18"/>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w:t>
            </w:r>
            <w:r w:rsidRPr="00E6451E">
              <w:rPr>
                <w:rFonts w:cs="Calibri"/>
                <w:sz w:val="20"/>
                <w:szCs w:val="20"/>
              </w:rPr>
              <w:lastRenderedPageBreak/>
              <w:t xml:space="preserve">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w:t>
            </w:r>
            <w:r w:rsidRPr="00E6451E">
              <w:rPr>
                <w:rFonts w:cs="Calibri"/>
                <w:sz w:val="20"/>
                <w:szCs w:val="20"/>
              </w:rPr>
              <w:lastRenderedPageBreak/>
              <w:t>q</w:t>
            </w:r>
            <w:r w:rsidRPr="00E6451E">
              <w:rPr>
                <w:rFonts w:cs="Calibri"/>
                <w:sz w:val="20"/>
                <w:szCs w:val="20"/>
              </w:rPr>
              <w:lastRenderedPageBreak/>
              <w:t>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19" w:name="OLE_LINK109"/>
            <w:bookmarkStart w:id="20"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19"/>
          <w:bookmarkEnd w:id="20"/>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l’effet d’un déplacement, d'un agrandissement ou d'une réduction sur les longueurs, les aires, </w:t>
            </w:r>
            <w:r w:rsidRPr="00E6451E">
              <w:rPr>
                <w:rFonts w:cs="Calibri"/>
                <w:color w:val="000000"/>
                <w:sz w:val="20"/>
                <w:szCs w:val="20"/>
              </w:rPr>
              <w:lastRenderedPageBreak/>
              <w:t>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Utiliser des solides concrets (en carton par exemple) pour illustrer certaines proprié</w:t>
            </w:r>
            <w:r w:rsidRPr="00E6451E">
              <w:rPr>
                <w:rFonts w:cs="Calibri"/>
                <w:sz w:val="20"/>
                <w:szCs w:val="20"/>
              </w:rPr>
              <w:lastRenderedPageBreak/>
              <w:t xml:space="preserve">tés.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un logiciel de géométrie dynamique, notamment pour transformer une figure par translation, symétrie, 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21"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21"/>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xml:space="preserve">, en lien avec les configurations de Thalès, la proportionnalité, les fonctions linéaires, les rapports d’agrandissement </w:t>
            </w:r>
            <w:r w:rsidRPr="00E6451E">
              <w:rPr>
                <w:rFonts w:cs="Calibri"/>
                <w:sz w:val="20"/>
                <w:szCs w:val="20"/>
              </w:rPr>
              <w:lastRenderedPageBreak/>
              <w:t>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11"/>
        <w:gridCol w:w="5166"/>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Initiation au chiffrement (Morse, chiffre de César, code 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lastRenderedPageBreak/>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w:t>
      </w:r>
      <w:r w:rsidRPr="00E6451E">
        <w:rPr>
          <w:rFonts w:cs="Calibri"/>
          <w:b/>
          <w:i/>
          <w:sz w:val="20"/>
          <w:szCs w:val="20"/>
        </w:rPr>
        <w:lastRenderedPageBreak/>
        <w:t>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gridCol w:w="1205"/>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w:t>
            </w:r>
            <w:r w:rsidRPr="00E6451E">
              <w:rPr>
                <w:rFonts w:cs="Calibri"/>
                <w:szCs w:val="20"/>
              </w:rPr>
              <w:lastRenderedPageBreak/>
              <w:t>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w:t>
            </w:r>
            <w:r w:rsidRPr="00E6451E">
              <w:rPr>
                <w:rFonts w:cs="Calibri"/>
                <w:szCs w:val="20"/>
              </w:rPr>
              <w:lastRenderedPageBreak/>
              <w:t>a vie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20"/>
      <w:headerReference w:type="first" r:id="rId21"/>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38" w:rsidRDefault="002E7138" w:rsidP="009976E5">
      <w:pPr>
        <w:spacing w:after="0" w:line="240" w:lineRule="auto"/>
      </w:pPr>
      <w:r>
        <w:separator/>
      </w:r>
    </w:p>
  </w:endnote>
  <w:endnote w:type="continuationSeparator" w:id="0">
    <w:p w:rsidR="002E7138" w:rsidRDefault="002E7138"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 xml:space="preserve"> PAGE </w:instrText>
    </w:r>
    <w:r>
      <w:fldChar w:fldCharType="separate"/>
    </w:r>
    <w:r w:rsidR="00B82DAD">
      <w:rPr>
        <w:noProof/>
      </w:rPr>
      <w:t>12</w:t>
    </w:r>
    <w:r>
      <w:fldChar w:fldCharType="end"/>
    </w:r>
  </w:p>
  <w:p w:rsidR="0069791B" w:rsidRDefault="0069791B">
    <w:pPr>
      <w:pStyle w:val="Pieddepage"/>
    </w:pPr>
  </w:p>
  <w:p w:rsidR="0069791B" w:rsidRDefault="006979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 xml:space="preserve"> PAGE </w:instrText>
    </w:r>
    <w:r>
      <w:fldChar w:fldCharType="separate"/>
    </w:r>
    <w:r w:rsidR="006B4D21">
      <w:rPr>
        <w:noProof/>
      </w:rPr>
      <w:t>161</w:t>
    </w:r>
    <w:r>
      <w:fldChar w:fldCharType="end"/>
    </w:r>
  </w:p>
  <w:p w:rsidR="0069791B" w:rsidRDefault="0069791B">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6B4D21">
      <w:rPr>
        <w:noProof/>
      </w:rPr>
      <w:t>248</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38" w:rsidRDefault="002E7138" w:rsidP="009976E5">
      <w:pPr>
        <w:spacing w:after="0" w:line="240" w:lineRule="auto"/>
      </w:pPr>
      <w:r>
        <w:separator/>
      </w:r>
    </w:p>
  </w:footnote>
  <w:footnote w:type="continuationSeparator" w:id="0">
    <w:p w:rsidR="002E7138" w:rsidRDefault="002E7138" w:rsidP="0099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rPr>
        <w:sz w:val="2"/>
      </w:rPr>
    </w:pPr>
  </w:p>
  <w:p w:rsidR="0069791B" w:rsidRDefault="0069791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E7138"/>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B4D21"/>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74D36"/>
    <w:rsid w:val="00A80A34"/>
    <w:rsid w:val="00AD40F9"/>
    <w:rsid w:val="00AF5565"/>
    <w:rsid w:val="00B10A1D"/>
    <w:rsid w:val="00B144C1"/>
    <w:rsid w:val="00B37530"/>
    <w:rsid w:val="00B46025"/>
    <w:rsid w:val="00B652AC"/>
    <w:rsid w:val="00B82DAD"/>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B218C-8272-4712-9FB5-D46D220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CE53-E9F9-4F26-9340-930B1A03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57799</Words>
  <Characters>317900</Characters>
  <Application>Microsoft Office Word</Application>
  <DocSecurity>0</DocSecurity>
  <Lines>2649</Lines>
  <Paragraphs>749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374950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ienlux</cp:lastModifiedBy>
  <cp:revision>3</cp:revision>
  <dcterms:created xsi:type="dcterms:W3CDTF">2015-12-01T13:27:00Z</dcterms:created>
  <dcterms:modified xsi:type="dcterms:W3CDTF">2015-12-01T13:28:00Z</dcterms:modified>
</cp:coreProperties>
</file>